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3879"/>
        <w:gridCol w:w="6095"/>
      </w:tblGrid>
      <w:tr>
        <w:trPr>
          <w:trHeight w:val="1" w:hRule="atLeast"/>
          <w:jc w:val="left"/>
        </w:trPr>
        <w:tc>
          <w:tcPr>
            <w:tcW w:w="38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 Bold" w:hAnsi="Times New Roman Bold" w:cs="Times New Roman Bold" w:eastAsia="Times New Roman Bold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 Bold" w:hAnsi="Times New Roman Bold" w:cs="Times New Roman Bold" w:eastAsia="Times New Roman Bold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ỦY BAN NHÂN DÂN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 Bold" w:hAnsi="Times New Roman Bold" w:cs="Times New Roman Bold" w:eastAsia="Times New Roman Bold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 Bold" w:hAnsi="Times New Roman Bold" w:cs="Times New Roman Bold" w:eastAsia="Times New Roman Bold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TỈNH QUẢNG BÌNH</w:t>
            </w:r>
          </w:p>
          <w:p>
            <w:pPr>
              <w:spacing w:before="0" w:after="0" w:line="240"/>
              <w:ind w:right="0" w:left="-136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-134" w:hanging="3"/>
              <w:jc w:val="center"/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8"/>
                <w:shd w:fill="auto" w:val="clear"/>
              </w:rPr>
              <w:t xml:space="preserve">Số:  1412   /Q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8"/>
                <w:shd w:fill="auto" w:val="clear"/>
              </w:rPr>
              <w:t xml:space="preserve">Đ-UBND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  <w:tc>
          <w:tcPr>
            <w:tcW w:w="60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534" w:firstLine="534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8"/>
                <w:shd w:fill="auto" w:val="clear"/>
              </w:rPr>
              <w:t xml:space="preserve">CỘNG HÒA XÃ HỘI CHỦ NGHĨA VIỆT NAM</w:t>
            </w:r>
          </w:p>
          <w:p>
            <w:pPr>
              <w:spacing w:before="0" w:after="0" w:line="240"/>
              <w:ind w:right="0" w:left="0" w:hanging="37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-8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8"/>
                <w:position w:val="0"/>
                <w:sz w:val="28"/>
                <w:shd w:fill="auto" w:val="clear"/>
              </w:rPr>
              <w:t xml:space="preserve">Độc lập - Tự do - Hạnh phúc</w:t>
            </w:r>
          </w:p>
          <w:p>
            <w:pPr>
              <w:spacing w:before="0" w:after="0" w:line="240"/>
              <w:ind w:right="0" w:left="0" w:hanging="37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12"/>
                <w:shd w:fill="auto" w:val="clear"/>
              </w:rPr>
            </w:pPr>
          </w:p>
          <w:p>
            <w:pPr>
              <w:spacing w:before="0" w:after="0" w:line="240"/>
              <w:ind w:right="0" w:left="0" w:hanging="37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Quảng Bình, ngày 24  tháng 4   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ăm 2019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QUYẾT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ĐỊNH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V/v ban hành Bộ tiêu chí “Xã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đạt chuẩn nông thôn mới kiểu mẫu” tr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ên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địa 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àn tỉnh Quảng Bình giai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đoạn 2019 - 2020</w:t>
      </w:r>
    </w:p>
    <w:p>
      <w:pPr>
        <w:spacing w:before="0" w:after="0" w:line="288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052" w:leader="none"/>
        </w:tabs>
        <w:spacing w:before="120" w:after="0" w:line="252"/>
        <w:ind w:right="0" w:left="0" w:firstLine="53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ỦY BAN NHÂN DÂN TỈNH QUẢNG BÌNH</w:t>
      </w:r>
    </w:p>
    <w:p>
      <w:pPr>
        <w:tabs>
          <w:tab w:val="left" w:pos="3052" w:leader="none"/>
        </w:tabs>
        <w:spacing w:before="0" w:after="60" w:line="264"/>
        <w:ind w:right="0" w:left="0" w:firstLine="53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tabs>
          <w:tab w:val="left" w:pos="3052" w:leader="none"/>
        </w:tabs>
        <w:spacing w:before="60" w:after="60" w:line="264"/>
        <w:ind w:right="0" w:left="0" w:firstLine="53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cứ Luật Tổ chức Chính quyền địa phương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19/6/2015;</w:t>
      </w:r>
    </w:p>
    <w:p>
      <w:pPr>
        <w:tabs>
          <w:tab w:val="left" w:pos="3052" w:leader="none"/>
        </w:tabs>
        <w:spacing w:before="60" w:after="60" w:line="264"/>
        <w:ind w:right="0" w:left="0" w:firstLine="53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cứ Quyết định số 1600/QĐ-TTg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16/8/2016 của Thủ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ướng Chính phủ về việc phê duyệt Chương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ình mục tiêu quốc gia xây dựng nông thôn mới giai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đoạn 2016 - 2020;</w:t>
      </w:r>
    </w:p>
    <w:p>
      <w:pPr>
        <w:tabs>
          <w:tab w:val="left" w:pos="3052" w:leader="none"/>
        </w:tabs>
        <w:spacing w:before="60" w:after="60" w:line="264"/>
        <w:ind w:right="0" w:left="0" w:firstLine="539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ăn cứ Quyết định số 1760/QĐ-TTg ng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ày 10/11/2017 của Thủ t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ướng Chính phủ về việc điều chỉnh, bổ sung Quyết định 1600/QĐ-TTg ngày 16/8/2016 của Thủ tướng Chính phủ về phê duyệt Chương tr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ình MTQG xây dựng nông thôn mới giai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đoạn 2016-2020;</w:t>
      </w:r>
    </w:p>
    <w:p>
      <w:pPr>
        <w:tabs>
          <w:tab w:val="left" w:pos="3052" w:leader="none"/>
        </w:tabs>
        <w:spacing w:before="60" w:after="60" w:line="264"/>
        <w:ind w:right="0" w:left="0" w:firstLine="539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ăn cứ Quyết định số 691/QĐ-TTg ng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ày 05/6/2018 của Thủ t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ướng Chính phủ về việc ban hành tiêu chí x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ã nông thôn mới kiểu mẫu giai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đoạn 2018-2020;</w:t>
      </w:r>
    </w:p>
    <w:p>
      <w:pPr>
        <w:spacing w:before="60" w:after="60" w:line="264"/>
        <w:ind w:right="0" w:left="0" w:firstLine="53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Xét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đề nghị của Văn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òng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Điều phối Chương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ình MTQG xây dựng nông thôn mới tỉnh tại Công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số 31/VPĐP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28/03/2019,</w:t>
      </w:r>
    </w:p>
    <w:p>
      <w:pPr>
        <w:spacing w:before="60" w:after="60" w:line="264"/>
        <w:ind w:right="0" w:left="0" w:firstLine="54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"/>
          <w:shd w:fill="auto" w:val="clear"/>
        </w:rPr>
      </w:pPr>
    </w:p>
    <w:p>
      <w:pPr>
        <w:spacing w:before="60" w:after="60" w:line="264"/>
        <w:ind w:right="0" w:left="0" w:firstLine="54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"/>
          <w:shd w:fill="auto" w:val="clear"/>
        </w:rPr>
      </w:pPr>
    </w:p>
    <w:p>
      <w:pPr>
        <w:spacing w:before="60" w:after="60" w:line="264"/>
        <w:ind w:right="0" w:left="0" w:firstLine="545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QUYẾT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ĐỊNH:</w:t>
      </w:r>
    </w:p>
    <w:p>
      <w:pPr>
        <w:spacing w:before="0" w:after="60" w:line="264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8"/>
          <w:shd w:fill="auto" w:val="clear"/>
        </w:rPr>
      </w:pP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Điều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Ban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ành tiêu chí “Xã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đạt chuẩn nông thôn mới kiểu mẫu”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ên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địa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àn tỉnh Quảng Bình giai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đoạn 2019 - 2020 với nội dung sau: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Xã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được công nhận đạt chuẩn nông thôn mới kiểu mẫu l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à xã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ã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đạt chuẩn nông thôn mới nâng cao theo quy định tại Quyết định số 1820/QĐ-UBND ng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ày 04/06/2018 của UBND tỉnh Quảng Bình và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đáp ứng các ti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êu chí quy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định tại Quyết định số 691/QĐ-TTg ng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ày 05/06/2018 của Thủ t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ướng Chính phủ về việc ban hành tiêu chí “X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ã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đạt chuẩn nông thôn mới kiểu mẫu” giai đoạn 2018-2020; đồng thời đạt th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êm một trong các tiêu chí nổi trội sau: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-2"/>
          <w:position w:val="0"/>
          <w:sz w:val="28"/>
          <w:shd w:fill="auto" w:val="clear"/>
        </w:rPr>
        <w:t xml:space="preserve">1. Về v</w:t>
      </w:r>
      <w:r>
        <w:rPr>
          <w:rFonts w:ascii="Times New Roman" w:hAnsi="Times New Roman" w:cs="Times New Roman" w:eastAsia="Times New Roman"/>
          <w:b/>
          <w:i/>
          <w:color w:val="000000"/>
          <w:spacing w:val="-2"/>
          <w:position w:val="0"/>
          <w:sz w:val="28"/>
          <w:shd w:fill="auto" w:val="clear"/>
        </w:rPr>
        <w:t xml:space="preserve">ăn hóa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Xã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đạt chuẩn nông thôn mới kiểu mẫu nổi trội về văn hóa cần đáp ứng th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êm các nội dung sau: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Quản lý, bảo vệ và phát huy giá trị di tích lịch sử - v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ăn hóa, danh lam thắng cảnh v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 các di vật, cổ vật, bảo vật quốc gia trên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địa b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àn; tổ chức các lễ hội truyền thống phù hợp với quy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định của nh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 n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ước và phong tục, tập quán của địa phương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- 100% số thôn (bản) trên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địa b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àn xã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đạt v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à v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ượt chuẩn văn hóa theo quy định.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-2"/>
          <w:position w:val="0"/>
          <w:sz w:val="28"/>
          <w:shd w:fill="auto" w:val="clear"/>
        </w:rPr>
        <w:t xml:space="preserve">2. Về giáo dục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Xã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đạt chuẩn nông thôn mới kiểu mẫu nổi trội về Giáo dục cần đáp ứng th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êm các nội dung sau: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- Tỷ lệ huy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động trẻ đi học mẫu giáo đạt 97%.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- Tỷ lệ thanh niên, thiếu niên trong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độ tuổi từ 15 đến 18 tuổi đang học chương tr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ình giáo dục phổ thông hoặc giáo dục th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ường xuyên cấp trung học phổ thông hoặc giáo dục nghề nghiệp đạt 97%.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-2"/>
          <w:position w:val="0"/>
          <w:sz w:val="28"/>
          <w:shd w:fill="auto" w:val="clear"/>
        </w:rPr>
        <w:t xml:space="preserve">3. Về Du lịch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Xã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đạt chuẩn nông thôn mới kiểu mẫu nổi trội về Du lịch cần đáp ứng th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êm các nội dung sau: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- Có tài nguyên du lịch, có mô hình phát triển du lịch gắn với cộng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đồng v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 có sự tham gia của cộng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đồng dân cư.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- Có kết cấu hạ tầng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đảm bảo kết nối các điểm du lịch, có các dịch vụ cần thiết phục vụ khách du lịch, 100% các cơ sở kinh doanh dịch vụ phục vụ khách du lịch có ni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êm yết giá; số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điện thoại đường dây nóng của ng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ành du lịch.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- Có ít nhất 01 sản phẩm hàng l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ưu niệm phục vụ khách du lịch.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- Có các hoạt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động tuy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ên truyền, quảng bá về du lịch gắn với bảo tồn và phát huy các giá trị tài nguyên du lịch.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-2"/>
          <w:position w:val="0"/>
          <w:sz w:val="28"/>
          <w:shd w:fill="auto" w:val="clear"/>
        </w:rPr>
        <w:t xml:space="preserve">4. Về Môi tr</w:t>
      </w:r>
      <w:r>
        <w:rPr>
          <w:rFonts w:ascii="Times New Roman" w:hAnsi="Times New Roman" w:cs="Times New Roman" w:eastAsia="Times New Roman"/>
          <w:b/>
          <w:i/>
          <w:color w:val="000000"/>
          <w:spacing w:val="-2"/>
          <w:position w:val="0"/>
          <w:sz w:val="28"/>
          <w:shd w:fill="auto" w:val="clear"/>
        </w:rPr>
        <w:t xml:space="preserve">ường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Xã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đạt chuẩn nông thôn mới kiểu mẫu nổi trội về Môi trường cần đáp ứng th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êm các nội dung sau: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- Các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đoạn đường li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ên thôn, liên xã có rãnh thoát n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ước và được trồng cây bóng mát hoặc trồng hoa, cây cảnh toàn tuyến đạt từ 70% trở lên.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- Tỷ lệ chất thải sinh hoạt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được phân loại, xử lý ph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ù hợp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đạt từ 60% trở l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ên.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- Tổ chức các hoạt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động bảo vệ môi trường thường xuy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ên, hiệu quả và thu hút sự tham gia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đông đảo của người dân.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Đường l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àng, ngõ xóm, cảnh quan từng hộ dân xanh - sạch -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đẹp.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-2"/>
          <w:position w:val="0"/>
          <w:sz w:val="28"/>
          <w:shd w:fill="auto" w:val="clear"/>
        </w:rPr>
        <w:t xml:space="preserve">5. Về Sản xuất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- Củng cố và phát triển các hình thức tổ chức sản xuất trong nông nghiệp gắn với thực hiện Ch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ương tr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ình mỗi xã một sản phẩm (OCOP).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- Trên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địa b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8"/>
          <w:shd w:fill="auto" w:val="clear"/>
        </w:rPr>
        <w:t xml:space="preserve">àn xã có dự án, mô hình phát triển sản xuất liên kết theo chuỗi giá trị, gắn với tiêu thụ sản phẩm.</w:t>
      </w:r>
    </w:p>
    <w:p>
      <w:pPr>
        <w:spacing w:before="60" w:after="60" w:line="264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Điều 2.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Tổ chức thực hiện:</w:t>
      </w:r>
    </w:p>
    <w:p>
      <w:pPr>
        <w:spacing w:before="60" w:after="60" w:line="264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Sở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Nông nghiệp và Phát triển nông thôn chủ trì, phối hợp với các sở, ngành,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địa phương tham mưu UBND tỉnh triển khai thực hiện Quyết định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ày.</w:t>
      </w:r>
    </w:p>
    <w:p>
      <w:pPr>
        <w:spacing w:before="60" w:after="60" w:line="264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Các Sở, ban, ngành liên quan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cứ chức năng nhiệm vụ ban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ành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ướng dẫn thực hiện đối với các tiêu chí 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ã nông thôn mới kiểu mẫu.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Sở Kế hoạch và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Đầu tư chủ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ì, phối hợp với Sở Tài chính, Sở Nông nghiệp và PTNT tham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ưu UBND tỉnh bố trí các nguồn vốn ngân sách nhà nước và nguồn huy động khác cho các 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đạt chuẩn nông thôn mới kiểu mẫu theo đúng mục 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êu quy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định.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UBND các huyện, thị xã, thành phố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cứ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ình hình thực tế của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địa phương để hướng dẫn, chỉ đạo các 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ã lựa chọn loại hình xã nông thôn mới kiểu mẫu nổi trội nhất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để tập trung chỉ đạo triển khai thực hiện.</w:t>
      </w:r>
    </w:p>
    <w:p>
      <w:pPr>
        <w:spacing w:before="60" w:after="60" w:line="264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Điều 3.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Chánh Văn ph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òng UBND tỉnh;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ưởng Ban Chỉ đạo các Chương tr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ình MTQG giai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đoạn 2016-2020 tỉnh; Chánh Văn ph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òng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Điều phối Chương tr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ình MTQG xây dựng nông thôn mới tỉnh; Chủ tịch Ủy ban nhân dân các huyện, thành phố, thị xã; Chủ tịch Ủy ban nhân dân các xã và Thủ tr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ưởng các cơ quan đơn vị liên quan chịu trách nhiệm thi hành quyết định này./.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4"/>
          <w:shd w:fill="auto" w:val="clear"/>
        </w:rPr>
      </w:pPr>
    </w:p>
    <w:tbl>
      <w:tblPr/>
      <w:tblGrid>
        <w:gridCol w:w="4641"/>
        <w:gridCol w:w="4641"/>
        <w:gridCol w:w="4641"/>
        <w:gridCol w:w="5232"/>
      </w:tblGrid>
      <w:tr>
        <w:trPr>
          <w:trHeight w:val="1" w:hRule="atLeast"/>
          <w:jc w:val="left"/>
        </w:trPr>
        <w:tc>
          <w:tcPr>
            <w:tcW w:w="46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ơi nhận: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Nh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ư Điều 3;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ăn ph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òng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Điều phối TW;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Ban 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ường vụ Tỉnh ủy;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ường trực HĐND tỉnh;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Đo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àn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ĐBQH tỉnh;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Ủy ban MTTQVN tỉnh;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Chủ tịch, các PCT UBND tỉnh;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Các TV BC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Đ các Chương tr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ình MTQG tỉnh;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Lãnh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đạo VP UBND tỉnh;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ưu: VT, KT.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0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TM. ỦY BAN NHÂN DÂN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KT. CHỦ TỊCH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PHÓ CHỦ TỊCH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-10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ã ký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-10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Lê Minh Ngân  </w:t>
            </w:r>
          </w:p>
        </w:tc>
        <w:tc>
          <w:tcPr>
            <w:tcW w:w="46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37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60" w:after="60" w:line="36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93" w:type="dxa"/>
      </w:tblPr>
      <w:tblGrid>
        <w:gridCol w:w="15113"/>
        <w:gridCol w:w="621"/>
      </w:tblGrid>
      <w:tr>
        <w:trPr>
          <w:trHeight w:val="145" w:hRule="auto"/>
          <w:jc w:val="left"/>
        </w:trPr>
        <w:tc>
          <w:tcPr>
            <w:tcW w:w="151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125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