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6" w:type="dxa"/>
        <w:tblBorders>
          <w:insideH w:val="single" w:sz="4" w:space="0" w:color="auto"/>
        </w:tblBorders>
        <w:tblLook w:val="01E0"/>
      </w:tblPr>
      <w:tblGrid>
        <w:gridCol w:w="2997"/>
        <w:gridCol w:w="6501"/>
      </w:tblGrid>
      <w:tr w:rsidR="00C27A59">
        <w:trPr>
          <w:trHeight w:val="1135"/>
        </w:trPr>
        <w:tc>
          <w:tcPr>
            <w:tcW w:w="2997" w:type="dxa"/>
          </w:tcPr>
          <w:p w:rsidR="00C27A59" w:rsidRDefault="00C27A59">
            <w:pPr>
              <w:jc w:val="center"/>
              <w:rPr>
                <w:b/>
                <w:bCs/>
                <w:sz w:val="26"/>
                <w:szCs w:val="26"/>
              </w:rPr>
            </w:pPr>
            <w:r>
              <w:rPr>
                <w:b/>
                <w:bCs/>
                <w:sz w:val="26"/>
                <w:szCs w:val="26"/>
              </w:rPr>
              <w:t>ỦY BAN NHÂN DÂN</w:t>
            </w:r>
          </w:p>
          <w:p w:rsidR="00C27A59" w:rsidRDefault="00C27A59">
            <w:pPr>
              <w:jc w:val="center"/>
              <w:rPr>
                <w:b/>
                <w:bCs/>
                <w:sz w:val="26"/>
                <w:szCs w:val="26"/>
              </w:rPr>
            </w:pPr>
            <w:r>
              <w:rPr>
                <w:b/>
                <w:bCs/>
                <w:sz w:val="26"/>
                <w:szCs w:val="26"/>
              </w:rPr>
              <w:t>TỈNH QUẢNG BÌNH</w:t>
            </w:r>
          </w:p>
          <w:p w:rsidR="00C27A59" w:rsidRDefault="00C27A59">
            <w:pPr>
              <w:spacing w:before="120"/>
              <w:jc w:val="center"/>
            </w:pPr>
            <w:r>
              <w:rPr>
                <w:noProof/>
              </w:rPr>
              <w:pict>
                <v:line id="_x0000_s1026" style="position:absolute;left:0;text-align:left;z-index:251658240" from="43.4pt,2.85pt" to="89.8pt,2.85pt" strokeweight="1pt"/>
              </w:pict>
            </w:r>
            <w:r>
              <w:rPr>
                <w:sz w:val="26"/>
                <w:szCs w:val="26"/>
              </w:rPr>
              <w:t>Số:3010 /QĐ-UBND</w:t>
            </w:r>
          </w:p>
        </w:tc>
        <w:tc>
          <w:tcPr>
            <w:tcW w:w="6501" w:type="dxa"/>
          </w:tcPr>
          <w:p w:rsidR="00C27A59" w:rsidRDefault="00C27A59" w:rsidP="0005665E">
            <w:pPr>
              <w:jc w:val="center"/>
              <w:rPr>
                <w:b/>
                <w:bCs/>
                <w:sz w:val="26"/>
                <w:szCs w:val="26"/>
              </w:rPr>
            </w:pPr>
            <w:r>
              <w:rPr>
                <w:b/>
                <w:bCs/>
                <w:sz w:val="26"/>
                <w:szCs w:val="26"/>
              </w:rPr>
              <w:t xml:space="preserve">CỘNG HÒA XÃ HỘI CHỦ NGHĨA VIỆT </w:t>
            </w:r>
            <w:smartTag w:uri="urn:schemas-microsoft-com:office:smarttags" w:element="place">
              <w:smartTag w:uri="urn:schemas-microsoft-com:office:smarttags" w:element="country-region">
                <w:r>
                  <w:rPr>
                    <w:b/>
                    <w:bCs/>
                    <w:sz w:val="26"/>
                    <w:szCs w:val="26"/>
                  </w:rPr>
                  <w:t>NAM</w:t>
                </w:r>
              </w:smartTag>
            </w:smartTag>
          </w:p>
          <w:p w:rsidR="00C27A59" w:rsidRDefault="00C27A59" w:rsidP="0005665E">
            <w:pPr>
              <w:jc w:val="center"/>
              <w:rPr>
                <w:b/>
                <w:bCs/>
              </w:rPr>
            </w:pPr>
            <w:r>
              <w:rPr>
                <w:b/>
                <w:bCs/>
              </w:rPr>
              <w:t>Độc lập - Tự do - Hạnh phúc</w:t>
            </w:r>
          </w:p>
          <w:p w:rsidR="00C27A59" w:rsidRDefault="00C27A59" w:rsidP="0005665E">
            <w:pPr>
              <w:spacing w:before="120"/>
              <w:jc w:val="center"/>
              <w:rPr>
                <w:i/>
                <w:iCs/>
              </w:rPr>
            </w:pPr>
            <w:r>
              <w:rPr>
                <w:noProof/>
              </w:rPr>
              <w:pict>
                <v:line id="_x0000_s1027" style="position:absolute;left:0;text-align:left;z-index:251659264" from="74pt,2.5pt" to="239.95pt,2.5pt" strokeweight="1pt"/>
              </w:pict>
            </w:r>
            <w:r>
              <w:rPr>
                <w:i/>
                <w:iCs/>
              </w:rPr>
              <w:t>Quảng Bình, ngày 30 tháng 9 năm 2016</w:t>
            </w:r>
          </w:p>
        </w:tc>
      </w:tr>
    </w:tbl>
    <w:p w:rsidR="00C27A59" w:rsidRDefault="00C27A59">
      <w:pPr>
        <w:jc w:val="center"/>
        <w:rPr>
          <w:b/>
          <w:bCs/>
          <w:sz w:val="10"/>
          <w:szCs w:val="10"/>
          <w:lang w:val="it-IT"/>
        </w:rPr>
      </w:pPr>
    </w:p>
    <w:p w:rsidR="00C27A59" w:rsidRDefault="00C27A59" w:rsidP="00A67A17">
      <w:pPr>
        <w:jc w:val="center"/>
        <w:rPr>
          <w:b/>
          <w:bCs/>
          <w:lang w:val="it-IT"/>
        </w:rPr>
      </w:pPr>
      <w:r>
        <w:rPr>
          <w:b/>
          <w:bCs/>
          <w:lang w:val="it-IT"/>
        </w:rPr>
        <w:t>QUYẾT ĐỊNH</w:t>
      </w:r>
    </w:p>
    <w:p w:rsidR="00C27A59" w:rsidRDefault="00C27A59">
      <w:pPr>
        <w:jc w:val="center"/>
        <w:rPr>
          <w:b/>
          <w:bCs/>
          <w:lang w:val="it-IT"/>
        </w:rPr>
      </w:pPr>
      <w:r w:rsidRPr="0005665E">
        <w:rPr>
          <w:rFonts w:ascii="Times New Roman Bold" w:hAnsi="Times New Roman Bold" w:cs="Times New Roman Bold"/>
          <w:b/>
          <w:bCs/>
          <w:spacing w:val="-6"/>
          <w:lang w:val="it-IT"/>
        </w:rPr>
        <w:t>Về việc công bố thủ tục hành chính mới ban hành trong lĩnh vực Hòa giải ở c</w:t>
      </w:r>
      <w:r>
        <w:rPr>
          <w:rFonts w:ascii="Times New Roman Bold" w:hAnsi="Times New Roman Bold" w:cs="Times New Roman Bold"/>
          <w:b/>
          <w:bCs/>
          <w:spacing w:val="-6"/>
          <w:lang w:val="it-IT"/>
        </w:rPr>
        <w:t>ơ</w:t>
      </w:r>
      <w:r w:rsidRPr="0005665E">
        <w:rPr>
          <w:rFonts w:ascii="Times New Roman Bold" w:hAnsi="Times New Roman Bold" w:cs="Times New Roman Bold"/>
          <w:b/>
          <w:bCs/>
          <w:spacing w:val="-6"/>
          <w:lang w:val="it-IT"/>
        </w:rPr>
        <w:t xml:space="preserve"> sở </w:t>
      </w:r>
      <w:r>
        <w:rPr>
          <w:b/>
          <w:bCs/>
          <w:lang w:val="it-IT"/>
        </w:rPr>
        <w:t xml:space="preserve">thuộc thẩm quyền giải quyết của UBND cấp huyện và UBND cấp xã </w:t>
      </w:r>
    </w:p>
    <w:p w:rsidR="00C27A59" w:rsidRDefault="00C27A59">
      <w:pPr>
        <w:jc w:val="center"/>
        <w:rPr>
          <w:b/>
          <w:bCs/>
          <w:lang w:val="it-IT"/>
        </w:rPr>
      </w:pPr>
      <w:r>
        <w:rPr>
          <w:b/>
          <w:bCs/>
          <w:lang w:val="it-IT"/>
        </w:rPr>
        <w:t>trên địa bàn tỉnh Quảng Bình</w:t>
      </w:r>
    </w:p>
    <w:p w:rsidR="00C27A59" w:rsidRDefault="00C27A59">
      <w:pPr>
        <w:jc w:val="center"/>
        <w:rPr>
          <w:b/>
          <w:bCs/>
          <w:lang w:val="it-IT"/>
        </w:rPr>
      </w:pPr>
      <w:r>
        <w:rPr>
          <w:noProof/>
        </w:rPr>
        <w:pict>
          <v:line id="_x0000_s1028" style="position:absolute;left:0;text-align:left;z-index:251660288" from="198.75pt,4.6pt" to="275.7pt,4.6pt" strokeweight="1pt"/>
        </w:pict>
      </w:r>
    </w:p>
    <w:p w:rsidR="00C27A59" w:rsidRDefault="00C27A59" w:rsidP="0005665E">
      <w:pPr>
        <w:spacing w:after="60"/>
        <w:jc w:val="center"/>
        <w:rPr>
          <w:b/>
          <w:bCs/>
          <w:lang w:val="it-IT"/>
        </w:rPr>
      </w:pPr>
      <w:r>
        <w:rPr>
          <w:b/>
          <w:bCs/>
          <w:lang w:val="it-IT"/>
        </w:rPr>
        <w:t>CHỦ TỊCH ỦY BAN NHÂN DÂN TỈNH QUẢNG BÌNH</w:t>
      </w:r>
    </w:p>
    <w:p w:rsidR="00C27A59" w:rsidRDefault="00C27A59" w:rsidP="00927DD9">
      <w:pPr>
        <w:ind w:firstLine="567"/>
        <w:rPr>
          <w:lang w:val="it-IT"/>
        </w:rPr>
      </w:pPr>
      <w:r>
        <w:rPr>
          <w:lang w:val="it-IT"/>
        </w:rPr>
        <w:t>Căn cứ Luật Tổ chức chính quyền địa phương ngày 19/6/2015;</w:t>
      </w:r>
    </w:p>
    <w:p w:rsidR="00C27A59" w:rsidRDefault="00C27A59" w:rsidP="00927DD9">
      <w:pPr>
        <w:ind w:firstLine="567"/>
        <w:jc w:val="both"/>
        <w:rPr>
          <w:lang w:val="it-IT"/>
        </w:rPr>
      </w:pPr>
      <w:r>
        <w:rPr>
          <w:lang w:val="it-IT"/>
        </w:rPr>
        <w:t xml:space="preserve">Căn cứ Nghị định số 63/2010/NĐ-CP ngày 08/6/2010 của Chính phủ về kiểm soát thủ tục hành chính; </w:t>
      </w:r>
    </w:p>
    <w:p w:rsidR="00C27A59" w:rsidRDefault="00C27A59" w:rsidP="00927DD9">
      <w:pPr>
        <w:ind w:firstLine="567"/>
        <w:jc w:val="both"/>
        <w:rPr>
          <w:lang w:val="it-IT"/>
        </w:rPr>
      </w:pPr>
      <w:r>
        <w:rPr>
          <w:lang w:val="it-IT"/>
        </w:rPr>
        <w:t>Căn cứ Nghị định số 48/2013/NĐ-CP ngày 14/5/2013 của Chính phủ sửa đổi, bổ sung một số điều của các nghị định liên quan đến kiểm soát thủ tục hành chính;</w:t>
      </w:r>
    </w:p>
    <w:p w:rsidR="00C27A59" w:rsidRDefault="00C27A59" w:rsidP="00927DD9">
      <w:pPr>
        <w:ind w:firstLine="567"/>
        <w:jc w:val="both"/>
        <w:rPr>
          <w:lang w:val="it-IT"/>
        </w:rPr>
      </w:pPr>
      <w:r>
        <w:rPr>
          <w:lang w:val="it-IT"/>
        </w:rPr>
        <w:t xml:space="preserve">Căn cứ Thông tư số 05/2014/TT-BTP ngày 07/02/2014 của Bộ Tư pháp hướng dẫn công bố, niêm yết thủ tục hành chính và báo cáo về tình hình, kết quả thực hiện kiểm soát thủ tục hành chính; </w:t>
      </w:r>
    </w:p>
    <w:p w:rsidR="00C27A59" w:rsidRDefault="00C27A59" w:rsidP="00927DD9">
      <w:pPr>
        <w:ind w:firstLine="567"/>
        <w:jc w:val="both"/>
        <w:rPr>
          <w:lang w:val="it-IT"/>
        </w:rPr>
      </w:pPr>
      <w:r>
        <w:rPr>
          <w:lang w:val="it-IT"/>
        </w:rPr>
        <w:t>Căn cứ Quyết định số 09/2014/QĐ-UBND ngày 02/7/2014 của UBND tỉnh Quảng Bình về việc ban hành Quy chế công bố, công khai thủ tục hành chính trên địa bàn tỉnh Quảng Bình;</w:t>
      </w:r>
    </w:p>
    <w:p w:rsidR="00C27A59" w:rsidRDefault="00C27A59" w:rsidP="00927DD9">
      <w:pPr>
        <w:ind w:firstLine="567"/>
        <w:jc w:val="both"/>
        <w:rPr>
          <w:lang w:val="it-IT"/>
        </w:rPr>
      </w:pPr>
      <w:r>
        <w:rPr>
          <w:lang w:val="it-IT"/>
        </w:rPr>
        <w:t>Căn cứ Quyết định số 3404/QĐ-BTP ngày 18/12/2014 của Bộ Tư pháp về việc công bố thủ tục hành chính mới ban hành trong lĩnh vực Hòa giải ở cơ sở;</w:t>
      </w:r>
    </w:p>
    <w:p w:rsidR="00C27A59" w:rsidRDefault="00C27A59" w:rsidP="00927DD9">
      <w:pPr>
        <w:ind w:firstLine="567"/>
        <w:jc w:val="both"/>
        <w:rPr>
          <w:color w:val="0000FF"/>
          <w:lang w:val="sv-SE"/>
        </w:rPr>
      </w:pPr>
      <w:r>
        <w:rPr>
          <w:lang w:val="sv-SE"/>
        </w:rPr>
        <w:t>Xét đề nghị của Giám đốc Sở Tư pháp tại Tờ trình số 1703/TTr-STP ngày 12/9/2016.</w:t>
      </w:r>
    </w:p>
    <w:p w:rsidR="00C27A59" w:rsidRDefault="00C27A59" w:rsidP="00927DD9">
      <w:pPr>
        <w:jc w:val="center"/>
        <w:rPr>
          <w:b/>
          <w:bCs/>
          <w:lang w:val="sv-SE"/>
        </w:rPr>
      </w:pPr>
      <w:r>
        <w:rPr>
          <w:b/>
          <w:bCs/>
          <w:lang w:val="sv-SE"/>
        </w:rPr>
        <w:t>QUYẾT ĐỊNH:</w:t>
      </w:r>
    </w:p>
    <w:p w:rsidR="00C27A59" w:rsidRPr="00831B7F" w:rsidRDefault="00C27A59" w:rsidP="00927DD9">
      <w:pPr>
        <w:ind w:firstLine="567"/>
        <w:jc w:val="both"/>
        <w:rPr>
          <w:lang w:val="sv-SE"/>
        </w:rPr>
      </w:pPr>
      <w:r w:rsidRPr="00831B7F">
        <w:rPr>
          <w:b/>
          <w:bCs/>
          <w:lang w:val="sv-SE"/>
        </w:rPr>
        <w:t>Điều 1.</w:t>
      </w:r>
      <w:r w:rsidRPr="00831B7F">
        <w:rPr>
          <w:lang w:val="sv-SE"/>
        </w:rPr>
        <w:t xml:space="preserve"> Công bố kèm theo Quyết định này thủ tục hành chính</w:t>
      </w:r>
      <w:r>
        <w:rPr>
          <w:lang w:val="sv-SE"/>
        </w:rPr>
        <w:t xml:space="preserve"> mới ban hành</w:t>
      </w:r>
      <w:r w:rsidRPr="00831B7F">
        <w:rPr>
          <w:lang w:val="sv-SE"/>
        </w:rPr>
        <w:t xml:space="preserve"> trong lĩnh vực Hòa giải ở cơ sở </w:t>
      </w:r>
      <w:r>
        <w:rPr>
          <w:lang w:val="sv-SE"/>
        </w:rPr>
        <w:t>thuộc thẩm quyền giải quyết của UBND</w:t>
      </w:r>
      <w:r w:rsidRPr="00831B7F">
        <w:rPr>
          <w:lang w:val="sv-SE"/>
        </w:rPr>
        <w:t xml:space="preserve"> </w:t>
      </w:r>
      <w:r>
        <w:rPr>
          <w:lang w:val="sv-SE"/>
        </w:rPr>
        <w:t>cấp huyện</w:t>
      </w:r>
      <w:r w:rsidRPr="00831B7F">
        <w:rPr>
          <w:lang w:val="sv-SE"/>
        </w:rPr>
        <w:t xml:space="preserve"> và </w:t>
      </w:r>
      <w:r>
        <w:rPr>
          <w:lang w:val="sv-SE"/>
        </w:rPr>
        <w:t>UBND cấp xã</w:t>
      </w:r>
      <w:r w:rsidRPr="00831B7F">
        <w:rPr>
          <w:lang w:val="sv-SE"/>
        </w:rPr>
        <w:t xml:space="preserve"> trên địa bàn tỉnh Quảng Bình.</w:t>
      </w:r>
    </w:p>
    <w:p w:rsidR="00C27A59" w:rsidRPr="002414E3" w:rsidRDefault="00C27A59" w:rsidP="00927DD9">
      <w:pPr>
        <w:ind w:firstLine="567"/>
        <w:jc w:val="both"/>
        <w:rPr>
          <w:lang w:val="sv-SE"/>
        </w:rPr>
      </w:pPr>
      <w:r w:rsidRPr="002414E3">
        <w:rPr>
          <w:b/>
          <w:bCs/>
          <w:lang w:val="sv-SE"/>
        </w:rPr>
        <w:t xml:space="preserve">Điều 2. </w:t>
      </w:r>
      <w:r w:rsidRPr="002414E3">
        <w:rPr>
          <w:lang w:val="sv-SE"/>
        </w:rPr>
        <w:t>UBND các huyện, thị xã, thành phố có trách nhiệm sao y gửi UBND các xã, phường, thị trấn; tổ chức công khai và thực hiện các thủ tục hành chính theo đúng quy định.</w:t>
      </w:r>
    </w:p>
    <w:p w:rsidR="00C27A59" w:rsidRDefault="00C27A59" w:rsidP="00927DD9">
      <w:pPr>
        <w:tabs>
          <w:tab w:val="left" w:pos="709"/>
        </w:tabs>
        <w:ind w:firstLine="567"/>
        <w:jc w:val="both"/>
        <w:rPr>
          <w:lang w:val="sv-SE"/>
        </w:rPr>
      </w:pPr>
      <w:r>
        <w:rPr>
          <w:b/>
          <w:bCs/>
          <w:lang w:val="sv-SE"/>
        </w:rPr>
        <w:t>Điều 3.</w:t>
      </w:r>
      <w:r>
        <w:rPr>
          <w:lang w:val="sv-SE"/>
        </w:rPr>
        <w:t xml:space="preserve"> Quyết định này có hiệu lực thi hành kể từ ngày ký.</w:t>
      </w:r>
    </w:p>
    <w:p w:rsidR="00C27A59" w:rsidRDefault="00C27A59" w:rsidP="00927DD9">
      <w:pPr>
        <w:ind w:firstLine="567"/>
        <w:jc w:val="both"/>
        <w:rPr>
          <w:spacing w:val="-2"/>
          <w:lang w:val="sv-SE"/>
        </w:rPr>
      </w:pPr>
      <w:r>
        <w:rPr>
          <w:b/>
          <w:bCs/>
          <w:spacing w:val="-2"/>
          <w:lang w:val="sv-SE"/>
        </w:rPr>
        <w:t>Điều 4.</w:t>
      </w:r>
      <w:r>
        <w:rPr>
          <w:spacing w:val="-2"/>
          <w:lang w:val="sv-SE"/>
        </w:rPr>
        <w:t xml:space="preserve"> Chánh Văn phòng UBND tỉnh, Giám đốc Sở Tư pháp, Chủ tịch UBND các huyện, thị xã, thành phố; Chủ tịch UBND các xã, phường, thị trấn và các tổ chức, cá nhân có liên quan chịu trách nhiệm thi hành Quyết định này./.</w:t>
      </w:r>
    </w:p>
    <w:tbl>
      <w:tblPr>
        <w:tblW w:w="9606" w:type="dxa"/>
        <w:tblInd w:w="-106" w:type="dxa"/>
        <w:tblLook w:val="00A0"/>
      </w:tblPr>
      <w:tblGrid>
        <w:gridCol w:w="4587"/>
        <w:gridCol w:w="5019"/>
      </w:tblGrid>
      <w:tr w:rsidR="00C27A59">
        <w:tc>
          <w:tcPr>
            <w:tcW w:w="4587" w:type="dxa"/>
          </w:tcPr>
          <w:p w:rsidR="00C27A59" w:rsidRDefault="00C27A59">
            <w:pPr>
              <w:spacing w:before="120"/>
              <w:jc w:val="both"/>
              <w:rPr>
                <w:b/>
                <w:bCs/>
                <w:sz w:val="20"/>
                <w:szCs w:val="20"/>
                <w:lang w:val="sv-SE"/>
              </w:rPr>
            </w:pPr>
            <w:r>
              <w:rPr>
                <w:b/>
                <w:bCs/>
                <w:i/>
                <w:iCs/>
                <w:sz w:val="22"/>
                <w:szCs w:val="22"/>
                <w:lang w:val="sv-SE"/>
              </w:rPr>
              <w:t xml:space="preserve">Nơi nhận:                                                                    </w:t>
            </w:r>
            <w:r>
              <w:rPr>
                <w:sz w:val="22"/>
                <w:szCs w:val="22"/>
                <w:lang w:val="sv-SE"/>
              </w:rPr>
              <w:t xml:space="preserve">                        </w:t>
            </w:r>
            <w:r>
              <w:rPr>
                <w:b/>
                <w:bCs/>
                <w:sz w:val="20"/>
                <w:szCs w:val="20"/>
                <w:lang w:val="sv-SE"/>
              </w:rPr>
              <w:t xml:space="preserve">     </w:t>
            </w:r>
          </w:p>
          <w:p w:rsidR="00C27A59" w:rsidRDefault="00C27A59">
            <w:pPr>
              <w:jc w:val="both"/>
              <w:rPr>
                <w:sz w:val="22"/>
                <w:szCs w:val="22"/>
                <w:lang w:val="sv-SE"/>
              </w:rPr>
            </w:pPr>
            <w:r>
              <w:rPr>
                <w:sz w:val="22"/>
                <w:szCs w:val="22"/>
                <w:lang w:val="sv-SE"/>
              </w:rPr>
              <w:t xml:space="preserve">- Như </w:t>
            </w:r>
            <w:r w:rsidRPr="002414E3">
              <w:rPr>
                <w:sz w:val="22"/>
                <w:szCs w:val="22"/>
                <w:lang w:val="sv-SE"/>
              </w:rPr>
              <w:t xml:space="preserve">Điều 4; </w:t>
            </w:r>
            <w:r w:rsidRPr="002414E3">
              <w:rPr>
                <w:strike/>
                <w:sz w:val="22"/>
                <w:szCs w:val="22"/>
                <w:lang w:val="sv-SE"/>
              </w:rPr>
              <w:t xml:space="preserve">                                                                                      </w:t>
            </w:r>
          </w:p>
          <w:p w:rsidR="00C27A59" w:rsidRDefault="00C27A59">
            <w:pPr>
              <w:jc w:val="both"/>
              <w:rPr>
                <w:sz w:val="22"/>
                <w:szCs w:val="22"/>
                <w:lang w:val="sv-SE"/>
              </w:rPr>
            </w:pPr>
            <w:r>
              <w:rPr>
                <w:sz w:val="22"/>
                <w:szCs w:val="22"/>
                <w:lang w:val="sv-SE"/>
              </w:rPr>
              <w:t xml:space="preserve">- Cục Kiểm soát TTHC- Bộ Tư pháp; </w:t>
            </w:r>
          </w:p>
          <w:p w:rsidR="00C27A59" w:rsidRDefault="00C27A59">
            <w:pPr>
              <w:jc w:val="both"/>
              <w:rPr>
                <w:sz w:val="22"/>
                <w:szCs w:val="22"/>
                <w:lang w:val="sv-SE"/>
              </w:rPr>
            </w:pPr>
            <w:r>
              <w:rPr>
                <w:sz w:val="22"/>
                <w:szCs w:val="22"/>
                <w:lang w:val="sv-SE"/>
              </w:rPr>
              <w:t>- CT, các PCT UBND tỉnh;</w:t>
            </w:r>
          </w:p>
          <w:p w:rsidR="00C27A59" w:rsidRDefault="00C27A59">
            <w:pPr>
              <w:jc w:val="both"/>
              <w:rPr>
                <w:sz w:val="22"/>
                <w:szCs w:val="22"/>
                <w:lang w:val="sv-SE"/>
              </w:rPr>
            </w:pPr>
            <w:r>
              <w:rPr>
                <w:sz w:val="22"/>
                <w:szCs w:val="22"/>
                <w:lang w:val="sv-SE"/>
              </w:rPr>
              <w:t>- VP UBND tỉnh;</w:t>
            </w:r>
          </w:p>
          <w:p w:rsidR="00C27A59" w:rsidRDefault="00C27A59">
            <w:pPr>
              <w:jc w:val="both"/>
              <w:rPr>
                <w:sz w:val="22"/>
                <w:szCs w:val="22"/>
                <w:lang w:val="sv-SE"/>
              </w:rPr>
            </w:pPr>
            <w:r>
              <w:rPr>
                <w:sz w:val="22"/>
                <w:szCs w:val="22"/>
                <w:lang w:val="sv-SE"/>
              </w:rPr>
              <w:t>- Sở Tư pháp (3);</w:t>
            </w:r>
          </w:p>
          <w:p w:rsidR="00C27A59" w:rsidRDefault="00C27A59">
            <w:pPr>
              <w:jc w:val="both"/>
              <w:rPr>
                <w:sz w:val="20"/>
                <w:szCs w:val="20"/>
                <w:lang w:val="sv-SE"/>
              </w:rPr>
            </w:pPr>
            <w:r>
              <w:rPr>
                <w:sz w:val="22"/>
                <w:szCs w:val="22"/>
                <w:lang w:val="sv-SE"/>
              </w:rPr>
              <w:t>- Lưu: VT, NC, TTTHCB.</w:t>
            </w:r>
          </w:p>
        </w:tc>
        <w:tc>
          <w:tcPr>
            <w:tcW w:w="5019" w:type="dxa"/>
          </w:tcPr>
          <w:p w:rsidR="00C27A59" w:rsidRDefault="00C27A59" w:rsidP="00FC3886">
            <w:pPr>
              <w:spacing w:before="120"/>
              <w:jc w:val="center"/>
              <w:rPr>
                <w:b/>
                <w:bCs/>
                <w:lang w:val="sv-SE"/>
              </w:rPr>
            </w:pPr>
            <w:r>
              <w:rPr>
                <w:b/>
                <w:bCs/>
                <w:lang w:val="sv-SE"/>
              </w:rPr>
              <w:t>KT. CHỦ TỊCH</w:t>
            </w:r>
          </w:p>
          <w:p w:rsidR="00C27A59" w:rsidRDefault="00C27A59" w:rsidP="00FC3886">
            <w:pPr>
              <w:jc w:val="center"/>
              <w:rPr>
                <w:b/>
                <w:bCs/>
                <w:lang w:val="sv-SE"/>
              </w:rPr>
            </w:pPr>
            <w:r>
              <w:rPr>
                <w:b/>
                <w:bCs/>
                <w:lang w:val="sv-SE"/>
              </w:rPr>
              <w:t>PHÓ CHỦ TỊCH</w:t>
            </w:r>
          </w:p>
          <w:p w:rsidR="00C27A59" w:rsidRDefault="00C27A59" w:rsidP="00FC3886">
            <w:pPr>
              <w:jc w:val="center"/>
              <w:rPr>
                <w:b/>
                <w:bCs/>
                <w:lang w:val="sv-SE"/>
              </w:rPr>
            </w:pPr>
          </w:p>
          <w:p w:rsidR="00C27A59" w:rsidRDefault="00C27A59" w:rsidP="00FC3886">
            <w:pPr>
              <w:jc w:val="center"/>
              <w:rPr>
                <w:b/>
                <w:bCs/>
                <w:lang w:val="sv-SE"/>
              </w:rPr>
            </w:pPr>
          </w:p>
          <w:p w:rsidR="00C27A59" w:rsidRDefault="00C27A59" w:rsidP="00FC3886">
            <w:pPr>
              <w:jc w:val="center"/>
              <w:rPr>
                <w:lang w:val="sv-SE"/>
              </w:rPr>
            </w:pPr>
          </w:p>
          <w:p w:rsidR="00C27A59" w:rsidRDefault="00C27A59" w:rsidP="00FC3886">
            <w:pPr>
              <w:jc w:val="center"/>
              <w:rPr>
                <w:lang w:val="sv-SE"/>
              </w:rPr>
            </w:pPr>
            <w:r>
              <w:rPr>
                <w:lang w:val="sv-SE"/>
              </w:rPr>
              <w:t>Đã ký</w:t>
            </w:r>
          </w:p>
          <w:p w:rsidR="00C27A59" w:rsidRDefault="00C27A59" w:rsidP="00FC3886">
            <w:pPr>
              <w:jc w:val="center"/>
              <w:rPr>
                <w:lang w:val="sv-SE"/>
              </w:rPr>
            </w:pPr>
          </w:p>
          <w:p w:rsidR="00C27A59" w:rsidRDefault="00C27A59" w:rsidP="00FC3886">
            <w:pPr>
              <w:jc w:val="center"/>
              <w:rPr>
                <w:lang w:val="sv-SE"/>
              </w:rPr>
            </w:pPr>
          </w:p>
          <w:p w:rsidR="00C27A59" w:rsidRPr="00927DD9" w:rsidRDefault="00C27A59" w:rsidP="00FC3886">
            <w:pPr>
              <w:jc w:val="center"/>
              <w:rPr>
                <w:b/>
                <w:lang w:val="sv-SE"/>
              </w:rPr>
            </w:pPr>
            <w:r w:rsidRPr="00927DD9">
              <w:rPr>
                <w:b/>
                <w:lang w:val="sv-SE"/>
              </w:rPr>
              <w:t>Nguyễn Tiến Hoàng</w:t>
            </w:r>
          </w:p>
        </w:tc>
      </w:tr>
    </w:tbl>
    <w:p w:rsidR="00C27A59" w:rsidRDefault="00C27A59" w:rsidP="00F163BF">
      <w:pPr>
        <w:jc w:val="center"/>
        <w:rPr>
          <w:rFonts w:ascii="Times New Roman Bold" w:hAnsi="Times New Roman Bold" w:cs="Times New Roman Bold"/>
          <w:b/>
          <w:bCs/>
          <w:spacing w:val="-4"/>
          <w:lang w:val="it-IT"/>
        </w:rPr>
      </w:pPr>
      <w:r>
        <w:rPr>
          <w:b/>
          <w:bCs/>
        </w:rPr>
        <w:br w:type="column"/>
      </w:r>
      <w:r w:rsidRPr="002245B0">
        <w:rPr>
          <w:rFonts w:ascii="Times New Roman Bold" w:hAnsi="Times New Roman Bold" w:cs="Times New Roman Bold"/>
          <w:b/>
          <w:bCs/>
          <w:spacing w:val="-4"/>
        </w:rPr>
        <w:t>NỘI DUNG CỤ THỂ CỦA THỦ TỤC HÀNH CHÍNH MỚI BAN HÀNH</w:t>
      </w:r>
      <w:r w:rsidRPr="002245B0">
        <w:rPr>
          <w:rFonts w:ascii="Times New Roman Bold" w:hAnsi="Times New Roman Bold" w:cs="Times New Roman Bold"/>
          <w:b/>
          <w:bCs/>
          <w:color w:val="000000"/>
          <w:spacing w:val="-4"/>
        </w:rPr>
        <w:t xml:space="preserve"> </w:t>
      </w:r>
      <w:r w:rsidRPr="002245B0">
        <w:rPr>
          <w:rFonts w:ascii="Times New Roman Bold" w:hAnsi="Times New Roman Bold" w:cs="Times New Roman Bold"/>
          <w:b/>
          <w:bCs/>
          <w:spacing w:val="-4"/>
          <w:lang w:val="it-IT"/>
        </w:rPr>
        <w:t xml:space="preserve">TRONG LĨNH VỰC HÒA GIẢI Ở CƠ SỞ </w:t>
      </w:r>
      <w:r>
        <w:rPr>
          <w:rFonts w:ascii="Times New Roman Bold" w:hAnsi="Times New Roman Bold" w:cs="Times New Roman Bold"/>
          <w:b/>
          <w:bCs/>
          <w:spacing w:val="-4"/>
          <w:lang w:val="it-IT"/>
        </w:rPr>
        <w:t xml:space="preserve">THUỘC THẨM QUYỀN </w:t>
      </w:r>
    </w:p>
    <w:p w:rsidR="00C27A59" w:rsidRDefault="00C27A59" w:rsidP="00F163BF">
      <w:pPr>
        <w:jc w:val="center"/>
        <w:rPr>
          <w:rFonts w:ascii="Times New Roman Bold" w:hAnsi="Times New Roman Bold" w:cs="Times New Roman Bold"/>
          <w:b/>
          <w:bCs/>
          <w:spacing w:val="-4"/>
          <w:lang w:val="it-IT"/>
        </w:rPr>
      </w:pPr>
      <w:r>
        <w:rPr>
          <w:rFonts w:ascii="Times New Roman Bold" w:hAnsi="Times New Roman Bold" w:cs="Times New Roman Bold"/>
          <w:b/>
          <w:bCs/>
          <w:spacing w:val="-4"/>
          <w:lang w:val="it-IT"/>
        </w:rPr>
        <w:t>GIẢI QUYẾT CỦA UBND</w:t>
      </w:r>
      <w:r w:rsidRPr="002245B0">
        <w:rPr>
          <w:rFonts w:ascii="Times New Roman Bold" w:hAnsi="Times New Roman Bold" w:cs="Times New Roman Bold"/>
          <w:b/>
          <w:bCs/>
          <w:spacing w:val="-4"/>
          <w:lang w:val="it-IT"/>
        </w:rPr>
        <w:t xml:space="preserve"> CẤP HUYỆN VÀ </w:t>
      </w:r>
      <w:r>
        <w:rPr>
          <w:rFonts w:ascii="Times New Roman Bold" w:hAnsi="Times New Roman Bold" w:cs="Times New Roman Bold"/>
          <w:b/>
          <w:bCs/>
          <w:spacing w:val="-4"/>
          <w:lang w:val="it-IT"/>
        </w:rPr>
        <w:t xml:space="preserve">UBND </w:t>
      </w:r>
      <w:r w:rsidRPr="002245B0">
        <w:rPr>
          <w:rFonts w:ascii="Times New Roman Bold" w:hAnsi="Times New Roman Bold" w:cs="Times New Roman Bold"/>
          <w:b/>
          <w:bCs/>
          <w:spacing w:val="-4"/>
          <w:lang w:val="it-IT"/>
        </w:rPr>
        <w:t xml:space="preserve">CẤP XÃ </w:t>
      </w:r>
    </w:p>
    <w:p w:rsidR="00C27A59" w:rsidRDefault="00C27A59" w:rsidP="00F163BF">
      <w:pPr>
        <w:jc w:val="center"/>
        <w:rPr>
          <w:rFonts w:ascii="Times New Roman Bold" w:hAnsi="Times New Roman Bold" w:cs="Times New Roman Bold"/>
          <w:b/>
          <w:bCs/>
          <w:spacing w:val="-4"/>
          <w:lang w:val="it-IT"/>
        </w:rPr>
      </w:pPr>
      <w:r w:rsidRPr="002245B0">
        <w:rPr>
          <w:rFonts w:ascii="Times New Roman Bold" w:hAnsi="Times New Roman Bold" w:cs="Times New Roman Bold"/>
          <w:b/>
          <w:bCs/>
          <w:spacing w:val="-4"/>
          <w:lang w:val="it-IT"/>
        </w:rPr>
        <w:t>TRÊN ĐỊA BÀN TỈNH QUẢNG BÌNH</w:t>
      </w:r>
    </w:p>
    <w:p w:rsidR="00C27A59" w:rsidRDefault="00C27A59" w:rsidP="00F163BF">
      <w:pPr>
        <w:spacing w:before="120"/>
        <w:jc w:val="center"/>
        <w:rPr>
          <w:i/>
          <w:iCs/>
          <w:lang w:val="it-IT"/>
        </w:rPr>
      </w:pPr>
      <w:r>
        <w:rPr>
          <w:i/>
          <w:iCs/>
          <w:lang w:val="it-IT"/>
        </w:rPr>
        <w:t xml:space="preserve">(Ban hành kèm theo Quyết định số  3010 /QĐ-UBND ngày 30 tháng  9 năm 2016 </w:t>
      </w:r>
    </w:p>
    <w:p w:rsidR="00C27A59" w:rsidRDefault="00C27A59" w:rsidP="00F163BF">
      <w:pPr>
        <w:jc w:val="center"/>
        <w:rPr>
          <w:i/>
          <w:iCs/>
          <w:lang w:val="it-IT"/>
        </w:rPr>
      </w:pPr>
      <w:r>
        <w:rPr>
          <w:i/>
          <w:iCs/>
          <w:lang w:val="it-IT"/>
        </w:rPr>
        <w:t>của Chủ tịch Ủy ban nhân dân tỉnh Quảng Bình)</w:t>
      </w:r>
    </w:p>
    <w:p w:rsidR="00C27A59" w:rsidRPr="002245B0" w:rsidRDefault="00C27A59" w:rsidP="00F163BF">
      <w:pPr>
        <w:jc w:val="center"/>
        <w:rPr>
          <w:rFonts w:ascii="Times New Roman Bold" w:hAnsi="Times New Roman Bold" w:cs="Times New Roman Bold"/>
          <w:b/>
          <w:bCs/>
          <w:strike/>
          <w:spacing w:val="-4"/>
          <w:lang w:val="it-IT"/>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170.7pt;margin-top:4.6pt;width:114pt;height:.75pt;z-index:251661312" o:connectortype="straight"/>
        </w:pict>
      </w:r>
    </w:p>
    <w:p w:rsidR="00C27A59" w:rsidRDefault="00C27A59" w:rsidP="0005665E">
      <w:pPr>
        <w:spacing w:before="240" w:after="100"/>
        <w:ind w:firstLine="720"/>
        <w:jc w:val="both"/>
        <w:rPr>
          <w:rFonts w:ascii="Calibri" w:eastAsia="SimSun" w:hAnsi="Calibri"/>
          <w:b/>
          <w:bCs/>
          <w:color w:val="000000"/>
        </w:rPr>
      </w:pPr>
      <w:r w:rsidRPr="00EA09E5">
        <w:rPr>
          <w:rFonts w:ascii="Times New Roman Bold" w:hAnsi="Times New Roman Bold" w:cs="Times New Roman Bold"/>
          <w:b/>
          <w:bCs/>
          <w:color w:val="000000"/>
          <w:lang w:val="vi-VN"/>
        </w:rPr>
        <w:t xml:space="preserve">Thủ tục thực hiện </w:t>
      </w:r>
      <w:r w:rsidRPr="00EA09E5">
        <w:rPr>
          <w:rFonts w:ascii="Times New Roman Bold" w:eastAsia="SimSun" w:hAnsi="Times New Roman Bold" w:cs="Times New Roman Bold"/>
          <w:b/>
          <w:bCs/>
          <w:color w:val="000000"/>
          <w:lang w:val="vi-VN"/>
        </w:rPr>
        <w:t xml:space="preserve">hỗ trợ khi hòa giải viên gặp tai nạn hoặc rủi ro ảnh hưởng đến sức khỏe, tính mạng trong khi thực hiện hoạt động hòa giải </w:t>
      </w:r>
    </w:p>
    <w:p w:rsidR="00C27A59" w:rsidRPr="00E1282B" w:rsidRDefault="00C27A59" w:rsidP="0005665E">
      <w:pPr>
        <w:spacing w:before="100" w:after="100"/>
        <w:ind w:firstLine="720"/>
        <w:jc w:val="both"/>
        <w:rPr>
          <w:rStyle w:val="apple-style-span"/>
          <w:color w:val="000000"/>
          <w:lang w:val="vi-VN"/>
        </w:rPr>
      </w:pPr>
      <w:r>
        <w:rPr>
          <w:b/>
          <w:bCs/>
          <w:color w:val="000000"/>
        </w:rPr>
        <w:t xml:space="preserve">* </w:t>
      </w:r>
      <w:r w:rsidRPr="00E1282B">
        <w:rPr>
          <w:b/>
          <w:bCs/>
          <w:color w:val="000000"/>
          <w:lang w:val="vi-VN"/>
        </w:rPr>
        <w:t xml:space="preserve">Trình tự thực hiện: </w:t>
      </w:r>
      <w:r w:rsidRPr="00E1282B">
        <w:rPr>
          <w:rStyle w:val="apple-converted-space"/>
          <w:color w:val="000000"/>
          <w:lang w:val="vi-VN"/>
        </w:rPr>
        <w:t> </w:t>
      </w:r>
    </w:p>
    <w:p w:rsidR="00C27A59" w:rsidRPr="002245B0" w:rsidRDefault="00C27A59" w:rsidP="0005665E">
      <w:pPr>
        <w:spacing w:before="100" w:after="100"/>
        <w:ind w:firstLine="720"/>
        <w:jc w:val="both"/>
        <w:rPr>
          <w:lang w:val="vi-VN"/>
        </w:rPr>
      </w:pPr>
      <w:r>
        <w:t xml:space="preserve">- </w:t>
      </w:r>
      <w:r w:rsidRPr="002245B0">
        <w:rPr>
          <w:lang w:val="vi-VN"/>
        </w:rPr>
        <w:t>Trong trường hợp hòa giải viên gặp tai nạn hoặc rủi ro ảnh hưởng đến sức khỏe, tính mạng trong khi thực hiện hoạt động hòa giải ở cơ sở, hòa giải viên hoặc gia đình hòa giải viên bị thiệt hại về tính mạng nộp hồ sơ đề nghị hỗ trợ đến Ủy ban nhân dân cấp xã nơi đã ra quyết định công nhận hòa giải viên.</w:t>
      </w:r>
    </w:p>
    <w:p w:rsidR="00C27A59" w:rsidRPr="002245B0" w:rsidRDefault="00C27A59" w:rsidP="0005665E">
      <w:pPr>
        <w:spacing w:before="100" w:after="100"/>
        <w:ind w:firstLine="720"/>
        <w:jc w:val="both"/>
        <w:rPr>
          <w:lang w:val="vi-VN"/>
        </w:rPr>
      </w:pPr>
      <w:r w:rsidRPr="002245B0">
        <w:rPr>
          <w:lang w:val="vi-VN"/>
        </w:rPr>
        <w:t xml:space="preserve">Thời gian tiếp nhận hồ sơ: Vào giờ hành chính tất cả các ngày làm việc trong tuần (trừ các ngày lễ, tết). </w:t>
      </w:r>
    </w:p>
    <w:p w:rsidR="00C27A59" w:rsidRPr="001C5776" w:rsidRDefault="00C27A59" w:rsidP="0005665E">
      <w:pPr>
        <w:spacing w:before="100" w:after="100"/>
        <w:ind w:firstLine="720"/>
        <w:jc w:val="both"/>
        <w:rPr>
          <w:color w:val="000000"/>
          <w:lang w:val="vi-VN"/>
        </w:rPr>
      </w:pPr>
      <w:r>
        <w:t xml:space="preserve">- </w:t>
      </w:r>
      <w:r w:rsidRPr="002245B0">
        <w:rPr>
          <w:lang w:val="vi-VN"/>
        </w:rPr>
        <w:t>Trong thời hạn 03 ngày làm việc, Ủy ban nhân dân cấp xã nơi đã ra quyết định công nhận hòa giải viên xem xét, có văn bản đề nghị Ủy ban nhân dân cấp huyện kèm theo hồ sơ</w:t>
      </w:r>
      <w:r w:rsidRPr="001C5776">
        <w:rPr>
          <w:color w:val="000000"/>
          <w:lang w:val="vi-VN"/>
        </w:rPr>
        <w:t xml:space="preserve"> đề nghị hỗ trợ cho hòa giải viên gặp tai nạn hoặc rủi ro ảnh hưởng đến tính mạng, sức khỏe trong khi thực hiện hoạt động hòa giải.</w:t>
      </w:r>
    </w:p>
    <w:p w:rsidR="00C27A59" w:rsidRPr="00D57788" w:rsidRDefault="00C27A59" w:rsidP="0005665E">
      <w:pPr>
        <w:pStyle w:val="NormalWeb"/>
        <w:spacing w:beforeAutospacing="0" w:afterAutospacing="0"/>
        <w:ind w:firstLine="720"/>
        <w:jc w:val="both"/>
        <w:rPr>
          <w:sz w:val="28"/>
          <w:szCs w:val="28"/>
          <w:lang w:val="vi-VN"/>
        </w:rPr>
      </w:pPr>
      <w:r>
        <w:rPr>
          <w:sz w:val="28"/>
          <w:szCs w:val="28"/>
        </w:rPr>
        <w:t xml:space="preserve">- </w:t>
      </w:r>
      <w:r w:rsidRPr="006E0250">
        <w:rPr>
          <w:sz w:val="28"/>
          <w:szCs w:val="28"/>
          <w:lang w:val="vi-VN"/>
        </w:rPr>
        <w:t xml:space="preserve">Trong thời hạn </w:t>
      </w:r>
      <w:r w:rsidRPr="001C5776">
        <w:rPr>
          <w:sz w:val="28"/>
          <w:szCs w:val="28"/>
          <w:lang w:val="vi-VN"/>
        </w:rPr>
        <w:t>05</w:t>
      </w:r>
      <w:r w:rsidRPr="006E0250">
        <w:rPr>
          <w:sz w:val="28"/>
          <w:szCs w:val="28"/>
          <w:lang w:val="vi-VN"/>
        </w:rPr>
        <w:t xml:space="preserve"> ngày làm việc, kể từ ngày nhận đủ hồ sơ hợp lệ, </w:t>
      </w:r>
      <w:r w:rsidRPr="00D57788">
        <w:rPr>
          <w:sz w:val="28"/>
          <w:szCs w:val="28"/>
          <w:lang w:val="vi-VN"/>
        </w:rPr>
        <w:t xml:space="preserve">Chủ tịch Ủy ban nhân dân cấp </w:t>
      </w:r>
      <w:r w:rsidRPr="002F5BE0">
        <w:rPr>
          <w:sz w:val="28"/>
          <w:szCs w:val="28"/>
          <w:lang w:val="vi-VN"/>
        </w:rPr>
        <w:t>huyện</w:t>
      </w:r>
      <w:r w:rsidRPr="00D57788">
        <w:rPr>
          <w:sz w:val="28"/>
          <w:szCs w:val="28"/>
          <w:lang w:val="vi-VN"/>
        </w:rPr>
        <w:t xml:space="preserve"> xem xét, </w:t>
      </w:r>
      <w:r w:rsidRPr="006423A2">
        <w:rPr>
          <w:sz w:val="28"/>
          <w:szCs w:val="28"/>
          <w:lang w:val="vi-VN"/>
        </w:rPr>
        <w:t xml:space="preserve">ra </w:t>
      </w:r>
      <w:r w:rsidRPr="00D57788">
        <w:rPr>
          <w:sz w:val="28"/>
          <w:szCs w:val="28"/>
          <w:lang w:val="vi-VN"/>
        </w:rPr>
        <w:t xml:space="preserve">quyết định hỗ trợ; trường hợp không </w:t>
      </w:r>
      <w:r w:rsidRPr="006423A2">
        <w:rPr>
          <w:sz w:val="28"/>
          <w:szCs w:val="28"/>
          <w:lang w:val="vi-VN"/>
        </w:rPr>
        <w:t xml:space="preserve">hỗ trợ </w:t>
      </w:r>
      <w:r w:rsidRPr="00D57788">
        <w:rPr>
          <w:sz w:val="28"/>
          <w:szCs w:val="28"/>
          <w:lang w:val="vi-VN"/>
        </w:rPr>
        <w:t>thì phải trả lời bằng văn bản và nêu rõ lý do. </w:t>
      </w:r>
    </w:p>
    <w:p w:rsidR="00C27A59" w:rsidRPr="002245B0" w:rsidRDefault="00C27A59" w:rsidP="0005665E">
      <w:pPr>
        <w:pStyle w:val="NormalWeb"/>
        <w:spacing w:beforeAutospacing="0" w:afterAutospacing="0"/>
        <w:ind w:firstLine="720"/>
        <w:jc w:val="both"/>
        <w:rPr>
          <w:spacing w:val="-2"/>
          <w:sz w:val="28"/>
          <w:szCs w:val="28"/>
          <w:lang w:val="vi-VN"/>
        </w:rPr>
      </w:pPr>
      <w:r>
        <w:rPr>
          <w:spacing w:val="-2"/>
          <w:sz w:val="28"/>
          <w:szCs w:val="28"/>
        </w:rPr>
        <w:t xml:space="preserve">- </w:t>
      </w:r>
      <w:r w:rsidRPr="002245B0">
        <w:rPr>
          <w:spacing w:val="-2"/>
          <w:sz w:val="28"/>
          <w:szCs w:val="28"/>
          <w:lang w:val="vi-VN"/>
        </w:rPr>
        <w:t>Chậm nhất sau 03 ngày làm việc, kể từ</w:t>
      </w:r>
      <w:r>
        <w:rPr>
          <w:spacing w:val="-2"/>
          <w:sz w:val="28"/>
          <w:szCs w:val="28"/>
          <w:lang w:val="vi-VN"/>
        </w:rPr>
        <w:t xml:space="preserve"> ngày</w:t>
      </w:r>
      <w:r w:rsidRPr="002245B0">
        <w:rPr>
          <w:spacing w:val="-2"/>
          <w:sz w:val="28"/>
          <w:szCs w:val="28"/>
          <w:lang w:val="vi-VN"/>
        </w:rPr>
        <w:t xml:space="preserve"> nhận đượ</w:t>
      </w:r>
      <w:r>
        <w:rPr>
          <w:spacing w:val="-2"/>
          <w:sz w:val="28"/>
          <w:szCs w:val="28"/>
          <w:lang w:val="vi-VN"/>
        </w:rPr>
        <w:t xml:space="preserve">c </w:t>
      </w:r>
      <w:r>
        <w:rPr>
          <w:spacing w:val="-2"/>
          <w:sz w:val="28"/>
          <w:szCs w:val="28"/>
        </w:rPr>
        <w:t>q</w:t>
      </w:r>
      <w:r w:rsidRPr="002245B0">
        <w:rPr>
          <w:spacing w:val="-2"/>
          <w:sz w:val="28"/>
          <w:szCs w:val="28"/>
          <w:lang w:val="vi-VN"/>
        </w:rPr>
        <w:t>uyết định của Ủy ban nhân dân cấp huyện, Ủy ban nhân dân cấp xã thực hiện việc chi tiền hỗ trợ.</w:t>
      </w:r>
    </w:p>
    <w:p w:rsidR="00C27A59" w:rsidRPr="00E104C1" w:rsidRDefault="00C27A59" w:rsidP="0005665E">
      <w:pPr>
        <w:spacing w:before="100" w:after="100"/>
        <w:ind w:firstLine="720"/>
        <w:jc w:val="both"/>
        <w:rPr>
          <w:color w:val="000000"/>
          <w:lang w:val="vi-VN"/>
        </w:rPr>
      </w:pPr>
      <w:r>
        <w:rPr>
          <w:b/>
          <w:bCs/>
          <w:color w:val="000000"/>
        </w:rPr>
        <w:t xml:space="preserve">* </w:t>
      </w:r>
      <w:r w:rsidRPr="00E1282B">
        <w:rPr>
          <w:b/>
          <w:bCs/>
          <w:color w:val="000000"/>
          <w:lang w:val="vi-VN"/>
        </w:rPr>
        <w:t>Cách thức thực hiện:</w:t>
      </w:r>
      <w:r>
        <w:rPr>
          <w:color w:val="000000"/>
        </w:rPr>
        <w:t xml:space="preserve"> N</w:t>
      </w:r>
      <w:r w:rsidRPr="00E1282B">
        <w:rPr>
          <w:color w:val="000000"/>
          <w:lang w:val="vi-VN"/>
        </w:rPr>
        <w:t>ộp</w:t>
      </w:r>
      <w:r>
        <w:rPr>
          <w:color w:val="000000"/>
        </w:rPr>
        <w:t xml:space="preserve"> h</w:t>
      </w:r>
      <w:r w:rsidRPr="00E1282B">
        <w:rPr>
          <w:color w:val="000000"/>
          <w:lang w:val="vi-VN"/>
        </w:rPr>
        <w:t>ồ sơ trực tiếp</w:t>
      </w:r>
      <w:r>
        <w:rPr>
          <w:color w:val="000000"/>
        </w:rPr>
        <w:t xml:space="preserve"> hoặc</w:t>
      </w:r>
      <w:r w:rsidRPr="001C5776">
        <w:rPr>
          <w:color w:val="000000"/>
          <w:lang w:val="vi-VN"/>
        </w:rPr>
        <w:t xml:space="preserve"> qua đường bưu điện.</w:t>
      </w:r>
    </w:p>
    <w:p w:rsidR="00C27A59" w:rsidRPr="001C5776" w:rsidRDefault="00C27A59" w:rsidP="0005665E">
      <w:pPr>
        <w:spacing w:before="100" w:after="100"/>
        <w:ind w:firstLine="720"/>
        <w:jc w:val="both"/>
        <w:rPr>
          <w:b/>
          <w:bCs/>
          <w:color w:val="000000"/>
          <w:lang w:val="vi-VN"/>
        </w:rPr>
      </w:pPr>
      <w:r>
        <w:rPr>
          <w:b/>
          <w:bCs/>
          <w:color w:val="000000"/>
        </w:rPr>
        <w:t>*</w:t>
      </w:r>
      <w:r>
        <w:rPr>
          <w:b/>
          <w:bCs/>
          <w:color w:val="000000"/>
          <w:lang w:val="vi-VN"/>
        </w:rPr>
        <w:t xml:space="preserve"> </w:t>
      </w:r>
      <w:r w:rsidRPr="00E1282B">
        <w:rPr>
          <w:b/>
          <w:bCs/>
          <w:color w:val="000000"/>
          <w:lang w:val="vi-VN"/>
        </w:rPr>
        <w:t>Thành phần</w:t>
      </w:r>
      <w:r>
        <w:rPr>
          <w:b/>
          <w:bCs/>
          <w:color w:val="000000"/>
          <w:lang w:val="vi-VN"/>
        </w:rPr>
        <w:t xml:space="preserve"> </w:t>
      </w:r>
      <w:r w:rsidRPr="00E1282B">
        <w:rPr>
          <w:b/>
          <w:bCs/>
          <w:color w:val="000000"/>
          <w:lang w:val="vi-VN"/>
        </w:rPr>
        <w:t xml:space="preserve">hồ sơ: </w:t>
      </w:r>
    </w:p>
    <w:p w:rsidR="00C27A59" w:rsidRPr="00D57788" w:rsidRDefault="00C27A59" w:rsidP="0005665E">
      <w:pPr>
        <w:pStyle w:val="NormalWeb"/>
        <w:spacing w:beforeAutospacing="0" w:afterAutospacing="0"/>
        <w:ind w:firstLine="720"/>
        <w:jc w:val="both"/>
        <w:rPr>
          <w:sz w:val="28"/>
          <w:szCs w:val="28"/>
          <w:lang w:val="vi-VN"/>
        </w:rPr>
      </w:pPr>
      <w:r>
        <w:rPr>
          <w:sz w:val="28"/>
          <w:szCs w:val="28"/>
        </w:rPr>
        <w:t>-</w:t>
      </w:r>
      <w:r>
        <w:rPr>
          <w:sz w:val="28"/>
          <w:szCs w:val="28"/>
          <w:lang w:val="vi-VN"/>
        </w:rPr>
        <w:t xml:space="preserve"> </w:t>
      </w:r>
      <w:r w:rsidRPr="001C5776">
        <w:rPr>
          <w:sz w:val="28"/>
          <w:szCs w:val="28"/>
          <w:lang w:val="vi-VN"/>
        </w:rPr>
        <w:t>Giấy</w:t>
      </w:r>
      <w:r w:rsidRPr="00D57788">
        <w:rPr>
          <w:sz w:val="28"/>
          <w:szCs w:val="28"/>
          <w:lang w:val="vi-VN"/>
        </w:rPr>
        <w:t xml:space="preserve"> đề nghị hỗ trợ của hòa giải viên hoặc gia đình hòa giải viên </w:t>
      </w:r>
      <w:r w:rsidRPr="001C5776">
        <w:rPr>
          <w:sz w:val="28"/>
          <w:szCs w:val="28"/>
          <w:lang w:val="vi-VN"/>
        </w:rPr>
        <w:t xml:space="preserve">trong trường hợp hòa giải viên </w:t>
      </w:r>
      <w:r>
        <w:rPr>
          <w:sz w:val="28"/>
          <w:szCs w:val="28"/>
          <w:lang w:val="vi-VN"/>
        </w:rPr>
        <w:t>bị thiệt hại về tính mạng</w:t>
      </w:r>
      <w:r w:rsidRPr="001C5776">
        <w:rPr>
          <w:sz w:val="28"/>
          <w:szCs w:val="28"/>
          <w:lang w:val="vi-VN"/>
        </w:rPr>
        <w:t xml:space="preserve"> </w:t>
      </w:r>
      <w:r w:rsidRPr="00D57788">
        <w:rPr>
          <w:sz w:val="28"/>
          <w:szCs w:val="28"/>
          <w:lang w:val="vi-VN"/>
        </w:rPr>
        <w:t>có xác nhận của tổ trưởng tổ hòa giải</w:t>
      </w:r>
      <w:r w:rsidRPr="00D8390B">
        <w:rPr>
          <w:sz w:val="28"/>
          <w:szCs w:val="28"/>
          <w:lang w:val="vi-VN"/>
        </w:rPr>
        <w:t xml:space="preserve"> hoặc </w:t>
      </w:r>
      <w:r w:rsidRPr="001C5776">
        <w:rPr>
          <w:sz w:val="28"/>
          <w:szCs w:val="28"/>
          <w:lang w:val="vi-VN"/>
        </w:rPr>
        <w:t>T</w:t>
      </w:r>
      <w:r w:rsidRPr="00D8390B">
        <w:rPr>
          <w:sz w:val="28"/>
          <w:szCs w:val="28"/>
          <w:lang w:val="vi-VN"/>
        </w:rPr>
        <w:t>rưởng ban công tác Mặt trận trong trường hợp hòa giải viên bị thiệt hại là tổ trưởng tổ hòa giải</w:t>
      </w:r>
      <w:r w:rsidRPr="00D57788">
        <w:rPr>
          <w:sz w:val="28"/>
          <w:szCs w:val="28"/>
          <w:lang w:val="vi-VN"/>
        </w:rPr>
        <w:t xml:space="preserve">. </w:t>
      </w:r>
      <w:r w:rsidRPr="001C5776">
        <w:rPr>
          <w:sz w:val="28"/>
          <w:szCs w:val="28"/>
          <w:lang w:val="vi-VN"/>
        </w:rPr>
        <w:t>Giấy</w:t>
      </w:r>
      <w:r w:rsidRPr="00D57788">
        <w:rPr>
          <w:sz w:val="28"/>
          <w:szCs w:val="28"/>
          <w:lang w:val="vi-VN"/>
        </w:rPr>
        <w:t xml:space="preserve"> đề nghị hỗ trợ phải ghi rõ họ tên, địa chỉ của người yêu cầu hỗ trợ; lý do yêu cầu hỗ trợ; </w:t>
      </w:r>
    </w:p>
    <w:p w:rsidR="00C27A59" w:rsidRPr="00D57788" w:rsidRDefault="00C27A59" w:rsidP="0005665E">
      <w:pPr>
        <w:pStyle w:val="NormalWeb"/>
        <w:spacing w:beforeAutospacing="0" w:afterAutospacing="0"/>
        <w:ind w:firstLine="720"/>
        <w:jc w:val="both"/>
        <w:rPr>
          <w:sz w:val="28"/>
          <w:szCs w:val="28"/>
          <w:lang w:val="vi-VN"/>
        </w:rPr>
      </w:pPr>
      <w:r>
        <w:rPr>
          <w:sz w:val="28"/>
          <w:szCs w:val="28"/>
        </w:rPr>
        <w:t>-</w:t>
      </w:r>
      <w:r>
        <w:rPr>
          <w:sz w:val="28"/>
          <w:szCs w:val="28"/>
          <w:lang w:val="vi-VN"/>
        </w:rPr>
        <w:t xml:space="preserve"> </w:t>
      </w:r>
      <w:r w:rsidRPr="00D57788">
        <w:rPr>
          <w:sz w:val="28"/>
          <w:szCs w:val="28"/>
          <w:lang w:val="vi-VN"/>
        </w:rPr>
        <w:t xml:space="preserve">Biên bản xác nhận tình trạng của hòa giải viên bị tai nạn </w:t>
      </w:r>
      <w:r w:rsidRPr="002F5BE0">
        <w:rPr>
          <w:sz w:val="28"/>
          <w:szCs w:val="28"/>
          <w:lang w:val="vi-VN"/>
        </w:rPr>
        <w:t>có xác nhận của Ủy ban nhân dân cấp xã nơi xảy ra tai nạn hoặc cơ quan công an nơi xảy ra tai nạn</w:t>
      </w:r>
      <w:r w:rsidRPr="004D762B">
        <w:rPr>
          <w:sz w:val="28"/>
          <w:szCs w:val="28"/>
          <w:lang w:val="vi-VN"/>
        </w:rPr>
        <w:t xml:space="preserve"> (bản chính hoặc bản sao có chứng thực </w:t>
      </w:r>
      <w:r w:rsidRPr="001C5776">
        <w:rPr>
          <w:sz w:val="28"/>
          <w:szCs w:val="28"/>
          <w:lang w:val="vi-VN"/>
        </w:rPr>
        <w:t xml:space="preserve">trong trường hợp gửi </w:t>
      </w:r>
      <w:r w:rsidRPr="004D762B">
        <w:rPr>
          <w:sz w:val="28"/>
          <w:szCs w:val="28"/>
          <w:lang w:val="vi-VN"/>
        </w:rPr>
        <w:t xml:space="preserve">qua đường bưu điện; bản phô tô và bản chính để đối chiếu </w:t>
      </w:r>
      <w:r w:rsidRPr="001C5776">
        <w:rPr>
          <w:sz w:val="28"/>
          <w:szCs w:val="28"/>
          <w:lang w:val="vi-VN"/>
        </w:rPr>
        <w:t>trong trường hợp nộp</w:t>
      </w:r>
      <w:r w:rsidRPr="004D762B">
        <w:rPr>
          <w:sz w:val="28"/>
          <w:szCs w:val="28"/>
          <w:lang w:val="vi-VN"/>
        </w:rPr>
        <w:t xml:space="preserve"> trực tiếp)</w:t>
      </w:r>
      <w:r w:rsidRPr="00D57788">
        <w:rPr>
          <w:sz w:val="28"/>
          <w:szCs w:val="28"/>
          <w:lang w:val="vi-VN"/>
        </w:rPr>
        <w:t>;</w:t>
      </w:r>
    </w:p>
    <w:p w:rsidR="00C27A59" w:rsidRPr="002F5BE0" w:rsidRDefault="00C27A59" w:rsidP="0005665E">
      <w:pPr>
        <w:pStyle w:val="NormalWeb"/>
        <w:spacing w:beforeAutospacing="0" w:afterAutospacing="0"/>
        <w:ind w:firstLine="720"/>
        <w:jc w:val="both"/>
        <w:rPr>
          <w:sz w:val="28"/>
          <w:szCs w:val="28"/>
          <w:lang w:val="vi-VN"/>
        </w:rPr>
      </w:pPr>
      <w:r>
        <w:rPr>
          <w:sz w:val="28"/>
          <w:szCs w:val="28"/>
        </w:rPr>
        <w:t>-</w:t>
      </w:r>
      <w:r>
        <w:rPr>
          <w:sz w:val="28"/>
          <w:szCs w:val="28"/>
          <w:lang w:val="vi-VN"/>
        </w:rPr>
        <w:t xml:space="preserve"> </w:t>
      </w:r>
      <w:r w:rsidRPr="00D57788">
        <w:rPr>
          <w:sz w:val="28"/>
          <w:szCs w:val="28"/>
          <w:lang w:val="vi-VN"/>
        </w:rPr>
        <w:t>Giấy ra viện, hóa đơn thanh toán chi phí khám bệnh, chữa bệnh</w:t>
      </w:r>
      <w:r w:rsidRPr="004D762B">
        <w:rPr>
          <w:sz w:val="28"/>
          <w:szCs w:val="28"/>
          <w:lang w:val="vi-VN"/>
        </w:rPr>
        <w:t xml:space="preserve"> (bản chính hoặc bản sao có chứng thực </w:t>
      </w:r>
      <w:r w:rsidRPr="001C5776">
        <w:rPr>
          <w:sz w:val="28"/>
          <w:szCs w:val="28"/>
          <w:lang w:val="vi-VN"/>
        </w:rPr>
        <w:t>trong trường hợp gửi</w:t>
      </w:r>
      <w:r w:rsidRPr="004D762B">
        <w:rPr>
          <w:sz w:val="28"/>
          <w:szCs w:val="28"/>
          <w:lang w:val="vi-VN"/>
        </w:rPr>
        <w:t xml:space="preserve"> qua đường bưu điện; bản phô tô và bản chính để đối chiếu </w:t>
      </w:r>
      <w:r w:rsidRPr="001C5776">
        <w:rPr>
          <w:sz w:val="28"/>
          <w:szCs w:val="28"/>
          <w:lang w:val="vi-VN"/>
        </w:rPr>
        <w:t xml:space="preserve">trong trường hợp nộp </w:t>
      </w:r>
      <w:r w:rsidRPr="004D762B">
        <w:rPr>
          <w:sz w:val="28"/>
          <w:szCs w:val="28"/>
          <w:lang w:val="vi-VN"/>
        </w:rPr>
        <w:t>trực tiếp)</w:t>
      </w:r>
      <w:r w:rsidRPr="00D57788">
        <w:rPr>
          <w:sz w:val="28"/>
          <w:szCs w:val="28"/>
          <w:lang w:val="vi-VN"/>
        </w:rPr>
        <w:t>;</w:t>
      </w:r>
    </w:p>
    <w:p w:rsidR="00C27A59" w:rsidRPr="001C5776" w:rsidRDefault="00C27A59" w:rsidP="0005665E">
      <w:pPr>
        <w:pStyle w:val="NormalWeb"/>
        <w:spacing w:beforeAutospacing="0" w:afterAutospacing="0"/>
        <w:ind w:firstLine="720"/>
        <w:jc w:val="both"/>
        <w:rPr>
          <w:sz w:val="28"/>
          <w:szCs w:val="28"/>
          <w:lang w:val="vi-VN"/>
        </w:rPr>
      </w:pPr>
      <w:r>
        <w:rPr>
          <w:sz w:val="28"/>
          <w:szCs w:val="28"/>
        </w:rPr>
        <w:t>-</w:t>
      </w:r>
      <w:r>
        <w:rPr>
          <w:sz w:val="28"/>
          <w:szCs w:val="28"/>
          <w:lang w:val="vi-VN"/>
        </w:rPr>
        <w:t xml:space="preserve"> </w:t>
      </w:r>
      <w:r w:rsidRPr="002F5BE0">
        <w:rPr>
          <w:sz w:val="28"/>
          <w:szCs w:val="28"/>
          <w:lang w:val="vi-VN"/>
        </w:rPr>
        <w:t>Văn bản, giấy tờ hợp lệ về thu nhập thực tế theo tiền lương, tiền công hằng tháng của người bị tai nạn có xác nhận của tổ chức hoặc cá nhân sử dụng lao động để cơ quan nhà nước có thẩm quyền xác định thu nhập thực tế bị mất hoặc giảm sút</w:t>
      </w:r>
      <w:r w:rsidRPr="004D762B">
        <w:rPr>
          <w:sz w:val="28"/>
          <w:szCs w:val="28"/>
          <w:lang w:val="vi-VN"/>
        </w:rPr>
        <w:t xml:space="preserve"> (bản chính hoặc bản sao có chứng thực </w:t>
      </w:r>
      <w:r w:rsidRPr="001C5776">
        <w:rPr>
          <w:sz w:val="28"/>
          <w:szCs w:val="28"/>
          <w:lang w:val="vi-VN"/>
        </w:rPr>
        <w:t>trong trường hợp gửi</w:t>
      </w:r>
      <w:r w:rsidRPr="004D762B">
        <w:rPr>
          <w:sz w:val="28"/>
          <w:szCs w:val="28"/>
          <w:lang w:val="vi-VN"/>
        </w:rPr>
        <w:t xml:space="preserve"> qua đường bưu điện; bản phô tô và bản chính để đối chiếu </w:t>
      </w:r>
      <w:r w:rsidRPr="001C5776">
        <w:rPr>
          <w:sz w:val="28"/>
          <w:szCs w:val="28"/>
          <w:lang w:val="vi-VN"/>
        </w:rPr>
        <w:t xml:space="preserve">trong trường hợp nộp </w:t>
      </w:r>
      <w:r w:rsidRPr="004D762B">
        <w:rPr>
          <w:sz w:val="28"/>
          <w:szCs w:val="28"/>
          <w:lang w:val="vi-VN"/>
        </w:rPr>
        <w:t xml:space="preserve">trực tiếp), </w:t>
      </w:r>
      <w:r w:rsidRPr="001C5776">
        <w:rPr>
          <w:sz w:val="28"/>
          <w:szCs w:val="28"/>
          <w:lang w:val="vi-VN"/>
        </w:rPr>
        <w:t xml:space="preserve">bao </w:t>
      </w:r>
      <w:r w:rsidRPr="004D762B">
        <w:rPr>
          <w:sz w:val="28"/>
          <w:szCs w:val="28"/>
          <w:lang w:val="vi-VN"/>
        </w:rPr>
        <w:t>gồm: Hợp đồng lao động, quyết định nâng lương của tổ chức hoặc cá nhân sử dụng lao động hoặc bản kê có thu nhập thực tế của hòa giải viên bị tai nạn và các giấy tờ chứng minh thu nhập thực tế hợp pháp khác (nếu có)</w:t>
      </w:r>
      <w:r w:rsidRPr="001C5776">
        <w:rPr>
          <w:sz w:val="28"/>
          <w:szCs w:val="28"/>
          <w:lang w:val="vi-VN"/>
        </w:rPr>
        <w:t>;</w:t>
      </w:r>
    </w:p>
    <w:p w:rsidR="00C27A59" w:rsidRPr="00D57788" w:rsidRDefault="00C27A59" w:rsidP="0005665E">
      <w:pPr>
        <w:pStyle w:val="NormalWeb"/>
        <w:spacing w:beforeAutospacing="0" w:afterAutospacing="0"/>
        <w:ind w:firstLine="720"/>
        <w:jc w:val="both"/>
        <w:rPr>
          <w:sz w:val="28"/>
          <w:szCs w:val="28"/>
          <w:lang w:val="vi-VN"/>
        </w:rPr>
      </w:pPr>
      <w:r>
        <w:rPr>
          <w:sz w:val="28"/>
          <w:szCs w:val="28"/>
        </w:rPr>
        <w:t>-</w:t>
      </w:r>
      <w:r>
        <w:rPr>
          <w:sz w:val="28"/>
          <w:szCs w:val="28"/>
          <w:lang w:val="vi-VN"/>
        </w:rPr>
        <w:t xml:space="preserve"> </w:t>
      </w:r>
      <w:r w:rsidRPr="00D57788">
        <w:rPr>
          <w:sz w:val="28"/>
          <w:szCs w:val="28"/>
          <w:lang w:val="vi-VN"/>
        </w:rPr>
        <w:t>Giấy chứng tử (trong trường hợp hòa giải viên bị thiệt hại về tính mạng</w:t>
      </w:r>
      <w:r w:rsidRPr="001C5776">
        <w:rPr>
          <w:sz w:val="28"/>
          <w:szCs w:val="28"/>
          <w:lang w:val="vi-VN"/>
        </w:rPr>
        <w:t xml:space="preserve">; </w:t>
      </w:r>
      <w:r w:rsidRPr="004D762B">
        <w:rPr>
          <w:sz w:val="28"/>
          <w:szCs w:val="28"/>
          <w:lang w:val="vi-VN"/>
        </w:rPr>
        <w:t xml:space="preserve">bản chính hoặc bản sao có chứng thực </w:t>
      </w:r>
      <w:r w:rsidRPr="001C5776">
        <w:rPr>
          <w:sz w:val="28"/>
          <w:szCs w:val="28"/>
          <w:lang w:val="vi-VN"/>
        </w:rPr>
        <w:t>trong trường hợp gửi</w:t>
      </w:r>
      <w:r w:rsidRPr="004D762B">
        <w:rPr>
          <w:sz w:val="28"/>
          <w:szCs w:val="28"/>
          <w:lang w:val="vi-VN"/>
        </w:rPr>
        <w:t xml:space="preserve"> qua đường bưu điện; bản phô tô và bản chính để đối chiếu </w:t>
      </w:r>
      <w:r w:rsidRPr="001C5776">
        <w:rPr>
          <w:sz w:val="28"/>
          <w:szCs w:val="28"/>
          <w:lang w:val="vi-VN"/>
        </w:rPr>
        <w:t>trong trường hợp nộp</w:t>
      </w:r>
      <w:r w:rsidRPr="004D762B">
        <w:rPr>
          <w:sz w:val="28"/>
          <w:szCs w:val="28"/>
          <w:lang w:val="vi-VN"/>
        </w:rPr>
        <w:t xml:space="preserve"> trực tiếp</w:t>
      </w:r>
      <w:r w:rsidRPr="00D57788">
        <w:rPr>
          <w:sz w:val="28"/>
          <w:szCs w:val="28"/>
          <w:lang w:val="vi-VN"/>
        </w:rPr>
        <w:t>).</w:t>
      </w:r>
    </w:p>
    <w:p w:rsidR="00C27A59" w:rsidRPr="005D15CD" w:rsidRDefault="00C27A59" w:rsidP="0005665E">
      <w:pPr>
        <w:spacing w:before="100" w:after="100"/>
        <w:ind w:firstLine="720"/>
        <w:jc w:val="both"/>
        <w:rPr>
          <w:b/>
          <w:bCs/>
          <w:color w:val="000000"/>
          <w:lang w:val="vi-VN"/>
        </w:rPr>
      </w:pPr>
      <w:r>
        <w:rPr>
          <w:b/>
          <w:bCs/>
          <w:color w:val="000000"/>
          <w:lang w:val="vi-VN" w:eastAsia="zh-CN"/>
        </w:rPr>
        <w:t xml:space="preserve">- </w:t>
      </w:r>
      <w:r w:rsidRPr="00E1282B">
        <w:rPr>
          <w:b/>
          <w:bCs/>
          <w:color w:val="000000"/>
          <w:lang w:val="vi-VN" w:eastAsia="zh-CN"/>
        </w:rPr>
        <w:t>Số lượng hồ sơ:</w:t>
      </w:r>
      <w:r w:rsidRPr="00E1282B">
        <w:rPr>
          <w:color w:val="000000"/>
          <w:lang w:val="vi-VN" w:eastAsia="zh-CN"/>
        </w:rPr>
        <w:t xml:space="preserve"> 01 bộ.</w:t>
      </w:r>
    </w:p>
    <w:p w:rsidR="00C27A59" w:rsidRPr="001C5776" w:rsidRDefault="00C27A59" w:rsidP="0005665E">
      <w:pPr>
        <w:spacing w:before="100" w:after="100"/>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Thời hạn giải quyết hồ sơ:</w:t>
      </w:r>
      <w:r>
        <w:rPr>
          <w:color w:val="000000"/>
          <w:lang w:val="vi-VN" w:eastAsia="zh-CN"/>
        </w:rPr>
        <w:t xml:space="preserve"> </w:t>
      </w:r>
    </w:p>
    <w:p w:rsidR="00C27A59" w:rsidRPr="001C5776" w:rsidRDefault="00C27A59" w:rsidP="0005665E">
      <w:pPr>
        <w:spacing w:before="100" w:after="100"/>
        <w:ind w:firstLine="720"/>
        <w:jc w:val="both"/>
        <w:rPr>
          <w:color w:val="000000"/>
          <w:lang w:val="vi-VN" w:eastAsia="zh-CN"/>
        </w:rPr>
      </w:pPr>
      <w:r w:rsidRPr="001C5776">
        <w:rPr>
          <w:color w:val="000000"/>
          <w:lang w:val="vi-VN" w:eastAsia="zh-CN"/>
        </w:rPr>
        <w:t xml:space="preserve">- </w:t>
      </w:r>
      <w:r>
        <w:rPr>
          <w:color w:val="000000"/>
          <w:lang w:val="vi-VN" w:eastAsia="zh-CN"/>
        </w:rPr>
        <w:t xml:space="preserve">Thời hạn </w:t>
      </w:r>
      <w:r w:rsidRPr="001C5776">
        <w:rPr>
          <w:color w:val="000000"/>
          <w:lang w:val="vi-VN" w:eastAsia="zh-CN"/>
        </w:rPr>
        <w:t>UBND cấp xã xem xét, đề nghị UBND cấp huyện giải quyết hồ sơ: 03 ngày làm việc, kể từ ngày nhận đủ hồ sơ hợp lệ;</w:t>
      </w:r>
    </w:p>
    <w:p w:rsidR="00C27A59" w:rsidRPr="001C5776" w:rsidRDefault="00C27A59" w:rsidP="0005665E">
      <w:pPr>
        <w:spacing w:before="100" w:after="100"/>
        <w:ind w:firstLine="720"/>
        <w:jc w:val="both"/>
        <w:rPr>
          <w:color w:val="000000"/>
          <w:lang w:val="vi-VN" w:eastAsia="zh-CN"/>
        </w:rPr>
      </w:pPr>
      <w:r w:rsidRPr="001C5776">
        <w:rPr>
          <w:color w:val="000000"/>
          <w:lang w:val="vi-VN" w:eastAsia="zh-CN"/>
        </w:rPr>
        <w:t>- Thời hạn Chủ tịch UBND cấp huyện xem xét, quyết định hỗ trợ: 05 ngày làm việc, kể từ ngày nhận đủ hồ sơ hợp lệ;</w:t>
      </w:r>
    </w:p>
    <w:p w:rsidR="00C27A59" w:rsidRDefault="00C27A59" w:rsidP="0005665E">
      <w:pPr>
        <w:spacing w:before="100" w:after="100"/>
        <w:ind w:firstLine="720"/>
        <w:jc w:val="both"/>
        <w:rPr>
          <w:color w:val="000000"/>
          <w:lang w:val="vi-VN" w:eastAsia="zh-CN"/>
        </w:rPr>
      </w:pPr>
      <w:r w:rsidRPr="001C5776">
        <w:rPr>
          <w:color w:val="000000"/>
          <w:lang w:val="vi-VN" w:eastAsia="zh-CN"/>
        </w:rPr>
        <w:t>- Thời hạn UBND cấp xã chi tiền hỗ trợ: 03 ngày làm việc, kể từ ngày nhận được Quyết định của UBND cấp huyện.</w:t>
      </w:r>
    </w:p>
    <w:p w:rsidR="00C27A59" w:rsidRPr="00AB4EAF" w:rsidRDefault="00C27A59" w:rsidP="0005665E">
      <w:pPr>
        <w:spacing w:before="100" w:after="100"/>
        <w:ind w:firstLine="720"/>
        <w:jc w:val="both"/>
        <w:rPr>
          <w:b/>
          <w:bCs/>
          <w:lang w:eastAsia="zh-CN"/>
        </w:rPr>
      </w:pPr>
      <w:r>
        <w:rPr>
          <w:b/>
          <w:bCs/>
          <w:lang w:eastAsia="zh-CN"/>
        </w:rPr>
        <w:t>*</w:t>
      </w:r>
      <w:r w:rsidRPr="00AB4EAF">
        <w:rPr>
          <w:b/>
          <w:bCs/>
          <w:lang w:val="vi-VN" w:eastAsia="zh-CN"/>
        </w:rPr>
        <w:t xml:space="preserve"> Cơ quan thực hiện TTHC: </w:t>
      </w:r>
    </w:p>
    <w:p w:rsidR="00C27A59" w:rsidRPr="00EA09E5" w:rsidRDefault="00C27A59" w:rsidP="0005665E">
      <w:pPr>
        <w:spacing w:before="100" w:after="100"/>
        <w:ind w:firstLine="720"/>
        <w:jc w:val="both"/>
        <w:rPr>
          <w:spacing w:val="-6"/>
          <w:lang w:eastAsia="zh-CN"/>
        </w:rPr>
      </w:pPr>
      <w:r w:rsidRPr="00EA09E5">
        <w:rPr>
          <w:b/>
          <w:bCs/>
          <w:spacing w:val="-6"/>
          <w:lang w:eastAsia="zh-CN"/>
        </w:rPr>
        <w:t xml:space="preserve">- </w:t>
      </w:r>
      <w:r w:rsidRPr="00EA09E5">
        <w:rPr>
          <w:b/>
          <w:bCs/>
          <w:spacing w:val="-6"/>
          <w:lang w:val="vi-VN" w:eastAsia="zh-CN"/>
        </w:rPr>
        <w:t xml:space="preserve">Cơ quan có thẩm quyền quyết định: </w:t>
      </w:r>
      <w:r w:rsidRPr="00EA09E5">
        <w:rPr>
          <w:spacing w:val="-6"/>
          <w:lang w:val="vi-VN"/>
        </w:rPr>
        <w:t>Chủ tịch Ủy ban nhân dân cấp huyện</w:t>
      </w:r>
      <w:r w:rsidRPr="00EA09E5">
        <w:rPr>
          <w:spacing w:val="-6"/>
        </w:rPr>
        <w:t>.</w:t>
      </w:r>
    </w:p>
    <w:p w:rsidR="00C27A59" w:rsidRPr="00AB4EAF" w:rsidRDefault="00C27A59" w:rsidP="0005665E">
      <w:pPr>
        <w:spacing w:before="100" w:after="100"/>
        <w:ind w:firstLine="720"/>
        <w:jc w:val="both"/>
        <w:rPr>
          <w:lang w:val="vi-VN" w:eastAsia="zh-CN"/>
        </w:rPr>
      </w:pPr>
      <w:r>
        <w:rPr>
          <w:b/>
          <w:bCs/>
          <w:lang w:eastAsia="zh-CN"/>
        </w:rPr>
        <w:t xml:space="preserve">- </w:t>
      </w:r>
      <w:r w:rsidRPr="00AB4EAF">
        <w:rPr>
          <w:b/>
          <w:bCs/>
          <w:lang w:val="vi-VN" w:eastAsia="zh-CN"/>
        </w:rPr>
        <w:t xml:space="preserve">Cơ quan trực tiếp thực hiện </w:t>
      </w:r>
      <w:r>
        <w:rPr>
          <w:b/>
          <w:bCs/>
          <w:lang w:eastAsia="zh-CN"/>
        </w:rPr>
        <w:t>TTHC</w:t>
      </w:r>
      <w:r w:rsidRPr="00AB4EAF">
        <w:rPr>
          <w:b/>
          <w:bCs/>
          <w:lang w:val="vi-VN" w:eastAsia="zh-CN"/>
        </w:rPr>
        <w:t xml:space="preserve">: </w:t>
      </w:r>
      <w:r w:rsidRPr="00AB4EAF">
        <w:rPr>
          <w:lang w:val="vi-VN"/>
        </w:rPr>
        <w:t xml:space="preserve">Ủy ban nhân dân cấp xã. </w:t>
      </w:r>
    </w:p>
    <w:p w:rsidR="00C27A59" w:rsidRPr="00E1282B" w:rsidRDefault="00C27A59" w:rsidP="0005665E">
      <w:pPr>
        <w:spacing w:before="100" w:after="100"/>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Đối tượng thực hiện </w:t>
      </w:r>
      <w:r>
        <w:rPr>
          <w:b/>
          <w:bCs/>
          <w:color w:val="000000"/>
          <w:lang w:eastAsia="zh-CN"/>
        </w:rPr>
        <w:t>TTHC</w:t>
      </w:r>
      <w:r w:rsidRPr="00E1282B">
        <w:rPr>
          <w:b/>
          <w:bCs/>
          <w:color w:val="000000"/>
          <w:lang w:val="vi-VN" w:eastAsia="zh-CN"/>
        </w:rPr>
        <w:t>:</w:t>
      </w:r>
      <w:r w:rsidRPr="00E1282B">
        <w:rPr>
          <w:color w:val="000000"/>
          <w:lang w:val="vi-VN" w:eastAsia="zh-CN"/>
        </w:rPr>
        <w:t xml:space="preserve"> </w:t>
      </w:r>
      <w:r w:rsidRPr="001C5776">
        <w:rPr>
          <w:color w:val="000000"/>
          <w:lang w:val="vi-VN" w:eastAsia="zh-CN"/>
        </w:rPr>
        <w:t>Hòa giải viên hoặc gia đình hòa giải viên trong trường hợp hòa giải viên bị thiệt hại về tính mạng trong khi thực hiện hoạt động hòa giải</w:t>
      </w:r>
      <w:r w:rsidRPr="00E1282B">
        <w:rPr>
          <w:color w:val="000000"/>
          <w:lang w:val="vi-VN" w:eastAsia="zh-CN"/>
        </w:rPr>
        <w:t>.</w:t>
      </w:r>
    </w:p>
    <w:p w:rsidR="00C27A59" w:rsidRPr="00E1282B" w:rsidRDefault="00C27A59" w:rsidP="0005665E">
      <w:pPr>
        <w:spacing w:before="100" w:after="100"/>
        <w:ind w:firstLine="720"/>
        <w:jc w:val="both"/>
        <w:rPr>
          <w:color w:val="222222"/>
          <w:lang w:val="vi-VN"/>
        </w:rPr>
      </w:pPr>
      <w:r>
        <w:rPr>
          <w:b/>
          <w:bCs/>
          <w:color w:val="000000"/>
          <w:lang w:eastAsia="zh-CN"/>
        </w:rPr>
        <w:t>*</w:t>
      </w:r>
      <w:r>
        <w:rPr>
          <w:b/>
          <w:bCs/>
          <w:color w:val="000000"/>
          <w:lang w:val="vi-VN" w:eastAsia="zh-CN"/>
        </w:rPr>
        <w:t xml:space="preserve"> </w:t>
      </w:r>
      <w:r w:rsidRPr="00E1282B">
        <w:rPr>
          <w:b/>
          <w:bCs/>
          <w:color w:val="000000"/>
          <w:lang w:val="vi-VN" w:eastAsia="zh-CN"/>
        </w:rPr>
        <w:t>Tên mẫu đơn, mẫu tờ khai:</w:t>
      </w:r>
      <w:r w:rsidRPr="00E1282B">
        <w:rPr>
          <w:color w:val="000000"/>
          <w:lang w:val="vi-VN" w:eastAsia="zh-CN"/>
        </w:rPr>
        <w:t xml:space="preserve"> </w:t>
      </w:r>
      <w:r>
        <w:rPr>
          <w:color w:val="000000"/>
        </w:rPr>
        <w:t>Không</w:t>
      </w:r>
      <w:r w:rsidRPr="00E1282B">
        <w:rPr>
          <w:color w:val="000000"/>
          <w:lang w:val="vi-VN"/>
        </w:rPr>
        <w:t>.</w:t>
      </w:r>
    </w:p>
    <w:p w:rsidR="00C27A59" w:rsidRPr="00E1282B" w:rsidRDefault="00C27A59" w:rsidP="0005665E">
      <w:pPr>
        <w:spacing w:before="100" w:after="100"/>
        <w:ind w:firstLine="720"/>
        <w:jc w:val="both"/>
        <w:rPr>
          <w:b/>
          <w:bCs/>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Lệ phí: </w:t>
      </w:r>
      <w:r w:rsidRPr="00E1282B">
        <w:rPr>
          <w:color w:val="000000"/>
          <w:lang w:val="vi-VN" w:eastAsia="zh-CN"/>
        </w:rPr>
        <w:t>Không.</w:t>
      </w:r>
    </w:p>
    <w:p w:rsidR="00C27A59" w:rsidRPr="00E1282B" w:rsidRDefault="00C27A59" w:rsidP="0005665E">
      <w:pPr>
        <w:spacing w:before="100" w:after="100"/>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Kết quả thực hiện </w:t>
      </w:r>
      <w:r>
        <w:rPr>
          <w:b/>
          <w:bCs/>
          <w:color w:val="000000"/>
          <w:lang w:eastAsia="zh-CN"/>
        </w:rPr>
        <w:t>TTHC</w:t>
      </w:r>
      <w:r w:rsidRPr="00E1282B">
        <w:rPr>
          <w:b/>
          <w:bCs/>
          <w:color w:val="000000"/>
          <w:lang w:val="vi-VN" w:eastAsia="zh-CN"/>
        </w:rPr>
        <w:t>:</w:t>
      </w:r>
      <w:r w:rsidRPr="00E1282B">
        <w:rPr>
          <w:i/>
          <w:iCs/>
          <w:color w:val="000000"/>
          <w:lang w:val="vi-VN" w:eastAsia="zh-CN"/>
        </w:rPr>
        <w:t xml:space="preserve"> </w:t>
      </w:r>
      <w:r w:rsidRPr="00E1282B">
        <w:rPr>
          <w:color w:val="000000"/>
          <w:lang w:val="vi-VN" w:eastAsia="zh-CN"/>
        </w:rPr>
        <w:t xml:space="preserve">Quyết định </w:t>
      </w:r>
      <w:r w:rsidRPr="001C5776">
        <w:rPr>
          <w:color w:val="000000"/>
          <w:lang w:val="vi-VN" w:eastAsia="zh-CN"/>
        </w:rPr>
        <w:t>hỗ trợ</w:t>
      </w:r>
      <w:r w:rsidRPr="00E1282B">
        <w:rPr>
          <w:color w:val="000000"/>
          <w:lang w:val="vi-VN" w:eastAsia="zh-CN"/>
        </w:rPr>
        <w:t>.</w:t>
      </w:r>
    </w:p>
    <w:p w:rsidR="00C27A59" w:rsidRPr="002245B0" w:rsidRDefault="00C27A59" w:rsidP="0005665E">
      <w:pPr>
        <w:spacing w:before="100" w:after="100"/>
        <w:ind w:firstLine="720"/>
        <w:jc w:val="both"/>
        <w:rPr>
          <w:rStyle w:val="apple-style-span"/>
        </w:rPr>
      </w:pPr>
      <w:r>
        <w:rPr>
          <w:b/>
          <w:bCs/>
          <w:color w:val="000000"/>
          <w:lang w:eastAsia="zh-CN"/>
        </w:rPr>
        <w:t xml:space="preserve">* </w:t>
      </w:r>
      <w:r w:rsidRPr="00E1282B">
        <w:rPr>
          <w:b/>
          <w:bCs/>
          <w:color w:val="000000"/>
          <w:lang w:val="vi-VN" w:eastAsia="zh-CN"/>
        </w:rPr>
        <w:t>Yêu cầu</w:t>
      </w:r>
      <w:r w:rsidRPr="001C5776">
        <w:rPr>
          <w:b/>
          <w:bCs/>
          <w:color w:val="000000"/>
          <w:lang w:val="vi-VN" w:eastAsia="zh-CN"/>
        </w:rPr>
        <w:t>,</w:t>
      </w:r>
      <w:r w:rsidRPr="00E1282B">
        <w:rPr>
          <w:b/>
          <w:bCs/>
          <w:color w:val="000000"/>
          <w:lang w:val="vi-VN" w:eastAsia="zh-CN"/>
        </w:rPr>
        <w:t xml:space="preserve"> điều kiện thực hiện </w:t>
      </w:r>
      <w:r>
        <w:rPr>
          <w:b/>
          <w:bCs/>
          <w:color w:val="000000"/>
          <w:lang w:eastAsia="zh-CN"/>
        </w:rPr>
        <w:t>TTHC</w:t>
      </w:r>
      <w:r w:rsidRPr="00E1282B">
        <w:rPr>
          <w:b/>
          <w:bCs/>
          <w:color w:val="000000"/>
          <w:lang w:val="vi-VN" w:eastAsia="zh-CN"/>
        </w:rPr>
        <w:t>:</w:t>
      </w:r>
      <w:r>
        <w:rPr>
          <w:b/>
          <w:bCs/>
          <w:color w:val="000000"/>
          <w:lang w:eastAsia="zh-CN"/>
        </w:rPr>
        <w:t xml:space="preserve"> </w:t>
      </w:r>
      <w:r w:rsidRPr="002245B0">
        <w:rPr>
          <w:lang w:eastAsia="zh-CN"/>
        </w:rPr>
        <w:t>(</w:t>
      </w:r>
      <w:r w:rsidRPr="002245B0">
        <w:t>Đ</w:t>
      </w:r>
      <w:r w:rsidRPr="002245B0">
        <w:rPr>
          <w:lang w:val="vi-VN"/>
        </w:rPr>
        <w:t xml:space="preserve">iều 16 Nghị </w:t>
      </w:r>
      <w:r w:rsidRPr="002245B0">
        <w:rPr>
          <w:rStyle w:val="apple-style-span"/>
          <w:lang w:val="vi-VN"/>
        </w:rPr>
        <w:t>định số 15/2014/NĐ-CP</w:t>
      </w:r>
      <w:r w:rsidRPr="002245B0">
        <w:rPr>
          <w:rStyle w:val="apple-style-span"/>
        </w:rPr>
        <w:t>)</w:t>
      </w:r>
    </w:p>
    <w:p w:rsidR="00C27A59" w:rsidRPr="002245B0" w:rsidRDefault="00C27A59" w:rsidP="0005665E">
      <w:pPr>
        <w:spacing w:before="100" w:after="100"/>
        <w:ind w:firstLine="720"/>
        <w:jc w:val="both"/>
        <w:rPr>
          <w:b/>
          <w:bCs/>
          <w:color w:val="000000"/>
          <w:lang w:eastAsia="zh-CN"/>
        </w:rPr>
      </w:pPr>
      <w:r w:rsidRPr="002245B0">
        <w:rPr>
          <w:lang w:eastAsia="zh-CN"/>
        </w:rPr>
        <w:t>Trường hợp hòa giải viên được hỗ trợ khi gặp tai nạn hoặc rủi ro ảnh hưởng đến sức khỏe, tính mạng trong khi thực hiện hòa giải</w:t>
      </w:r>
      <w:r>
        <w:rPr>
          <w:lang w:eastAsia="zh-CN"/>
        </w:rPr>
        <w:t>.</w:t>
      </w:r>
    </w:p>
    <w:p w:rsidR="00C27A59" w:rsidRPr="002245B0" w:rsidRDefault="00C27A59" w:rsidP="0005665E">
      <w:pPr>
        <w:spacing w:before="100" w:after="100"/>
        <w:ind w:firstLine="720"/>
        <w:jc w:val="both"/>
        <w:rPr>
          <w:color w:val="000000"/>
          <w:lang w:eastAsia="zh-CN"/>
        </w:rPr>
      </w:pPr>
      <w:r>
        <w:rPr>
          <w:color w:val="000000"/>
          <w:lang w:eastAsia="zh-CN"/>
        </w:rPr>
        <w:t>-</w:t>
      </w:r>
      <w:r w:rsidRPr="002245B0">
        <w:rPr>
          <w:color w:val="000000"/>
          <w:lang w:eastAsia="zh-CN"/>
        </w:rPr>
        <w:t xml:space="preserve"> Bị tai nạn hoặc rủi ro trong khi đang thực hiện hòa giải.</w:t>
      </w:r>
    </w:p>
    <w:p w:rsidR="00C27A59" w:rsidRPr="002245B0" w:rsidRDefault="00C27A59" w:rsidP="0005665E">
      <w:pPr>
        <w:spacing w:before="100" w:after="100"/>
        <w:ind w:firstLine="720"/>
        <w:jc w:val="both"/>
        <w:rPr>
          <w:color w:val="000000"/>
          <w:lang w:eastAsia="zh-CN"/>
        </w:rPr>
      </w:pPr>
      <w:r>
        <w:rPr>
          <w:color w:val="000000"/>
          <w:lang w:eastAsia="zh-CN"/>
        </w:rPr>
        <w:t>-</w:t>
      </w:r>
      <w:r w:rsidRPr="002245B0">
        <w:rPr>
          <w:color w:val="000000"/>
          <w:lang w:eastAsia="zh-CN"/>
        </w:rPr>
        <w:t xml:space="preserve"> Bị tai nạn hoặc rủi ro trên đường đi và về từ nơi ở đến địa điểm thực hiện hòa giải trên tuyến đường và trong khoảng thời gian hợp lý.</w:t>
      </w:r>
    </w:p>
    <w:p w:rsidR="00C27A59" w:rsidRPr="00E1282B" w:rsidRDefault="00C27A59" w:rsidP="0005665E">
      <w:pPr>
        <w:spacing w:before="100" w:after="100"/>
        <w:ind w:firstLine="720"/>
        <w:jc w:val="both"/>
        <w:rPr>
          <w:b/>
          <w:bCs/>
          <w:color w:val="000000"/>
          <w:lang w:val="vi-VN"/>
        </w:rPr>
      </w:pPr>
      <w:r>
        <w:rPr>
          <w:b/>
          <w:bCs/>
          <w:color w:val="000000"/>
        </w:rPr>
        <w:t>*</w:t>
      </w:r>
      <w:r>
        <w:rPr>
          <w:b/>
          <w:bCs/>
          <w:color w:val="000000"/>
          <w:lang w:val="vi-VN"/>
        </w:rPr>
        <w:t xml:space="preserve"> </w:t>
      </w:r>
      <w:r w:rsidRPr="00E1282B">
        <w:rPr>
          <w:b/>
          <w:bCs/>
          <w:color w:val="000000"/>
          <w:lang w:val="vi-VN"/>
        </w:rPr>
        <w:t xml:space="preserve">Căn cứ pháp lý của </w:t>
      </w:r>
      <w:r>
        <w:rPr>
          <w:b/>
          <w:bCs/>
          <w:color w:val="000000"/>
        </w:rPr>
        <w:t>TTHC</w:t>
      </w:r>
      <w:r w:rsidRPr="00E1282B">
        <w:rPr>
          <w:b/>
          <w:bCs/>
          <w:color w:val="000000"/>
          <w:lang w:val="vi-VN"/>
        </w:rPr>
        <w:t xml:space="preserve">: </w:t>
      </w:r>
    </w:p>
    <w:p w:rsidR="00C27A59" w:rsidRPr="00E1282B" w:rsidRDefault="00C27A59" w:rsidP="0005665E">
      <w:pPr>
        <w:spacing w:before="100" w:after="100"/>
        <w:ind w:firstLine="720"/>
        <w:jc w:val="both"/>
        <w:rPr>
          <w:rStyle w:val="apple-style-span"/>
          <w:color w:val="000000"/>
          <w:lang w:val="vi-VN"/>
        </w:rPr>
      </w:pPr>
      <w:r w:rsidRPr="00E1282B">
        <w:rPr>
          <w:color w:val="000000"/>
          <w:lang w:val="vi-VN"/>
        </w:rPr>
        <w:t xml:space="preserve">- </w:t>
      </w:r>
      <w:r w:rsidRPr="00E1282B">
        <w:rPr>
          <w:rStyle w:val="apple-style-span"/>
          <w:color w:val="000000"/>
          <w:lang w:val="vi-VN"/>
        </w:rPr>
        <w:t xml:space="preserve">Luật </w:t>
      </w:r>
      <w:r>
        <w:rPr>
          <w:rStyle w:val="apple-style-span"/>
          <w:color w:val="000000"/>
        </w:rPr>
        <w:t>H</w:t>
      </w:r>
      <w:r w:rsidRPr="001C5776">
        <w:rPr>
          <w:rStyle w:val="apple-style-span"/>
          <w:color w:val="000000"/>
          <w:lang w:val="vi-VN"/>
        </w:rPr>
        <w:t>òa giải ở cơ sở năm 2013</w:t>
      </w:r>
      <w:r w:rsidRPr="00E1282B">
        <w:rPr>
          <w:rStyle w:val="apple-style-span"/>
          <w:color w:val="000000"/>
          <w:lang w:val="vi-VN"/>
        </w:rPr>
        <w:t>;</w:t>
      </w:r>
    </w:p>
    <w:p w:rsidR="00C27A59" w:rsidRDefault="00C27A59" w:rsidP="0005665E">
      <w:pPr>
        <w:spacing w:before="100" w:after="100"/>
        <w:ind w:firstLine="720"/>
        <w:jc w:val="both"/>
        <w:rPr>
          <w:rStyle w:val="apple-style-span"/>
          <w:color w:val="000000"/>
        </w:rPr>
      </w:pPr>
      <w:r w:rsidRPr="00E1282B">
        <w:rPr>
          <w:rStyle w:val="apple-style-span"/>
          <w:color w:val="000000"/>
          <w:lang w:val="vi-VN"/>
        </w:rPr>
        <w:t xml:space="preserve">- Nghị định số </w:t>
      </w:r>
      <w:r w:rsidRPr="001C5776">
        <w:rPr>
          <w:rStyle w:val="apple-style-span"/>
          <w:color w:val="000000"/>
          <w:lang w:val="vi-VN"/>
        </w:rPr>
        <w:t>15</w:t>
      </w:r>
      <w:r>
        <w:rPr>
          <w:rStyle w:val="apple-style-span"/>
          <w:color w:val="000000"/>
          <w:lang w:val="vi-VN"/>
        </w:rPr>
        <w:t>/201</w:t>
      </w:r>
      <w:r w:rsidRPr="001C5776">
        <w:rPr>
          <w:rStyle w:val="apple-style-span"/>
          <w:color w:val="000000"/>
          <w:lang w:val="vi-VN"/>
        </w:rPr>
        <w:t>4</w:t>
      </w:r>
      <w:r w:rsidRPr="00E1282B">
        <w:rPr>
          <w:rStyle w:val="apple-style-span"/>
          <w:color w:val="000000"/>
          <w:lang w:val="vi-VN"/>
        </w:rPr>
        <w:t>/NĐ-CP</w:t>
      </w:r>
      <w:r w:rsidRPr="00E1282B">
        <w:rPr>
          <w:rStyle w:val="apple-converted-space"/>
          <w:color w:val="000000"/>
          <w:lang w:val="vi-VN"/>
        </w:rPr>
        <w:t> </w:t>
      </w:r>
      <w:r w:rsidRPr="00E02AA3">
        <w:rPr>
          <w:rStyle w:val="apple-style-span"/>
          <w:color w:val="000000"/>
          <w:lang w:val="vi-VN"/>
        </w:rPr>
        <w:t>ngày</w:t>
      </w:r>
      <w:r w:rsidRPr="001C5776">
        <w:rPr>
          <w:rStyle w:val="apple-style-span"/>
          <w:color w:val="000000"/>
          <w:lang w:val="vi-VN"/>
        </w:rPr>
        <w:t xml:space="preserve"> </w:t>
      </w:r>
      <w:r w:rsidRPr="001C5776">
        <w:rPr>
          <w:rStyle w:val="apple-converted-space"/>
          <w:color w:val="000000"/>
          <w:lang w:val="vi-VN"/>
        </w:rPr>
        <w:t>27/0</w:t>
      </w:r>
      <w:r w:rsidRPr="001C5776">
        <w:rPr>
          <w:rStyle w:val="apple-style-span"/>
          <w:color w:val="000000"/>
          <w:lang w:val="vi-VN"/>
        </w:rPr>
        <w:t>2</w:t>
      </w:r>
      <w:r w:rsidRPr="001C5776">
        <w:rPr>
          <w:rStyle w:val="apple-converted-space"/>
          <w:color w:val="000000"/>
          <w:lang w:val="vi-VN"/>
        </w:rPr>
        <w:t>/</w:t>
      </w:r>
      <w:r w:rsidRPr="00E02AA3">
        <w:rPr>
          <w:rStyle w:val="apple-style-span"/>
          <w:color w:val="000000"/>
          <w:lang w:val="vi-VN"/>
        </w:rPr>
        <w:t>201</w:t>
      </w:r>
      <w:r w:rsidRPr="001C5776">
        <w:rPr>
          <w:rStyle w:val="apple-style-span"/>
          <w:color w:val="000000"/>
          <w:lang w:val="vi-VN"/>
        </w:rPr>
        <w:t>4</w:t>
      </w:r>
      <w:r w:rsidRPr="00E1282B">
        <w:rPr>
          <w:rStyle w:val="apple-style-span"/>
          <w:color w:val="000000"/>
          <w:lang w:val="vi-VN"/>
        </w:rPr>
        <w:t xml:space="preserve"> của Chính phủ quy định chi tiết một số điều và biện pháp thi hành Luật </w:t>
      </w:r>
      <w:r>
        <w:rPr>
          <w:rStyle w:val="apple-style-span"/>
          <w:color w:val="000000"/>
        </w:rPr>
        <w:t>H</w:t>
      </w:r>
      <w:r w:rsidRPr="001C5776">
        <w:rPr>
          <w:rStyle w:val="apple-style-span"/>
          <w:color w:val="000000"/>
          <w:lang w:val="vi-VN"/>
        </w:rPr>
        <w:t>òa giải ở cơ sở</w:t>
      </w:r>
      <w:r>
        <w:rPr>
          <w:rStyle w:val="apple-style-span"/>
          <w:color w:val="000000"/>
          <w:lang w:val="vi-VN"/>
        </w:rPr>
        <w:t>.</w:t>
      </w:r>
      <w:r w:rsidRPr="001C5776">
        <w:rPr>
          <w:rStyle w:val="apple-style-span"/>
          <w:color w:val="000000"/>
          <w:lang w:val="vi-VN"/>
        </w:rPr>
        <w:t xml:space="preserve"> </w:t>
      </w:r>
    </w:p>
    <w:sectPr w:rsidR="00C27A59" w:rsidSect="003302F1">
      <w:footerReference w:type="default" r:id="rId7"/>
      <w:pgSz w:w="11907" w:h="16839" w:code="9"/>
      <w:pgMar w:top="360" w:right="851" w:bottom="1134" w:left="1701" w:header="720" w:footer="720" w:gutter="0"/>
      <w:pgNumType w:start="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A59" w:rsidRDefault="00C27A59">
      <w:r>
        <w:separator/>
      </w:r>
    </w:p>
  </w:endnote>
  <w:endnote w:type="continuationSeparator" w:id="0">
    <w:p w:rsidR="00C27A59" w:rsidRDefault="00C27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A59" w:rsidRDefault="00C27A5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7A59" w:rsidRDefault="00C27A5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A59" w:rsidRDefault="00C27A59">
      <w:r>
        <w:separator/>
      </w:r>
    </w:p>
  </w:footnote>
  <w:footnote w:type="continuationSeparator" w:id="0">
    <w:p w:rsidR="00C27A59" w:rsidRDefault="00C27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3BBC"/>
    <w:multiLevelType w:val="hybridMultilevel"/>
    <w:tmpl w:val="476A2580"/>
    <w:lvl w:ilvl="0" w:tplc="65AE3100">
      <w:start w:val="1"/>
      <w:numFmt w:val="bullet"/>
      <w:lvlText w:val="-"/>
      <w:lvlJc w:val="left"/>
      <w:pPr>
        <w:ind w:left="1080" w:hanging="360"/>
      </w:pPr>
      <w:rPr>
        <w:rFonts w:ascii="Times New Roman" w:eastAsia="Times New Roman" w:hAnsi="Times New Roman" w:hint="default"/>
        <w:b w:val="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8E032F8"/>
    <w:multiLevelType w:val="multilevel"/>
    <w:tmpl w:val="1A208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5031113"/>
    <w:multiLevelType w:val="hybridMultilevel"/>
    <w:tmpl w:val="0D8040AE"/>
    <w:lvl w:ilvl="0" w:tplc="98F67E12">
      <w:start w:val="1"/>
      <w:numFmt w:val="decimal"/>
      <w:lvlText w:val="%1."/>
      <w:lvlJc w:val="left"/>
      <w:pPr>
        <w:tabs>
          <w:tab w:val="num" w:pos="720"/>
        </w:tabs>
        <w:ind w:left="720" w:hanging="360"/>
      </w:pPr>
      <w:rPr>
        <w:rFonts w:cs="Times New Roman" w:hint="default"/>
        <w:color w:val="000000"/>
        <w:sz w:val="26"/>
        <w:szCs w:val="2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88373CA"/>
    <w:multiLevelType w:val="hybridMultilevel"/>
    <w:tmpl w:val="DA243D68"/>
    <w:lvl w:ilvl="0" w:tplc="E0E8A9DC">
      <w:start w:val="4"/>
      <w:numFmt w:val="bullet"/>
      <w:lvlText w:val="-"/>
      <w:lvlJc w:val="left"/>
      <w:pPr>
        <w:tabs>
          <w:tab w:val="num" w:pos="1620"/>
        </w:tabs>
        <w:ind w:left="1620" w:hanging="900"/>
      </w:pPr>
      <w:rPr>
        <w:rFonts w:ascii="Times New Roman" w:eastAsia="Times New Roman" w:hAnsi="Times New Roman" w:hint="default"/>
        <w:b/>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48494DD4"/>
    <w:multiLevelType w:val="multilevel"/>
    <w:tmpl w:val="94DE7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E1C0FF1"/>
    <w:multiLevelType w:val="hybridMultilevel"/>
    <w:tmpl w:val="3E4C461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0426AB3"/>
    <w:multiLevelType w:val="multilevel"/>
    <w:tmpl w:val="5F9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4E3"/>
    <w:rsid w:val="000400EE"/>
    <w:rsid w:val="00041852"/>
    <w:rsid w:val="00046B52"/>
    <w:rsid w:val="0005665E"/>
    <w:rsid w:val="00056767"/>
    <w:rsid w:val="00136063"/>
    <w:rsid w:val="00142465"/>
    <w:rsid w:val="001A7AB8"/>
    <w:rsid w:val="001C5776"/>
    <w:rsid w:val="001D0245"/>
    <w:rsid w:val="00221482"/>
    <w:rsid w:val="002245B0"/>
    <w:rsid w:val="002414E3"/>
    <w:rsid w:val="00294E88"/>
    <w:rsid w:val="002E12B9"/>
    <w:rsid w:val="002F5BE0"/>
    <w:rsid w:val="003302F1"/>
    <w:rsid w:val="003B2E1A"/>
    <w:rsid w:val="0043426F"/>
    <w:rsid w:val="004D762B"/>
    <w:rsid w:val="005233DB"/>
    <w:rsid w:val="005A1D49"/>
    <w:rsid w:val="005A290F"/>
    <w:rsid w:val="005D15CD"/>
    <w:rsid w:val="005F4543"/>
    <w:rsid w:val="005F7FB9"/>
    <w:rsid w:val="00637F6B"/>
    <w:rsid w:val="006423A2"/>
    <w:rsid w:val="006D5287"/>
    <w:rsid w:val="006E0250"/>
    <w:rsid w:val="00712FD6"/>
    <w:rsid w:val="00743BE9"/>
    <w:rsid w:val="00791142"/>
    <w:rsid w:val="00831B7F"/>
    <w:rsid w:val="008523F9"/>
    <w:rsid w:val="00915AE6"/>
    <w:rsid w:val="00927DD9"/>
    <w:rsid w:val="00936F9E"/>
    <w:rsid w:val="009565D2"/>
    <w:rsid w:val="00A336F7"/>
    <w:rsid w:val="00A51066"/>
    <w:rsid w:val="00A67A17"/>
    <w:rsid w:val="00A719ED"/>
    <w:rsid w:val="00AB2A4D"/>
    <w:rsid w:val="00AB4EAF"/>
    <w:rsid w:val="00AB7E1B"/>
    <w:rsid w:val="00AC261A"/>
    <w:rsid w:val="00B65701"/>
    <w:rsid w:val="00B82F0C"/>
    <w:rsid w:val="00BA2197"/>
    <w:rsid w:val="00C0309F"/>
    <w:rsid w:val="00C27A59"/>
    <w:rsid w:val="00D11EC0"/>
    <w:rsid w:val="00D47BAE"/>
    <w:rsid w:val="00D57788"/>
    <w:rsid w:val="00D8390B"/>
    <w:rsid w:val="00E02AA3"/>
    <w:rsid w:val="00E104C1"/>
    <w:rsid w:val="00E1282B"/>
    <w:rsid w:val="00E73A29"/>
    <w:rsid w:val="00E9519C"/>
    <w:rsid w:val="00EA09E5"/>
    <w:rsid w:val="00F01D34"/>
    <w:rsid w:val="00F163BF"/>
    <w:rsid w:val="00F36E7F"/>
    <w:rsid w:val="00F6488B"/>
    <w:rsid w:val="00F817BD"/>
    <w:rsid w:val="00FA283A"/>
    <w:rsid w:val="00FC38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142"/>
    <w:rPr>
      <w:sz w:val="28"/>
      <w:szCs w:val="28"/>
    </w:rPr>
  </w:style>
  <w:style w:type="paragraph" w:styleId="Heading1">
    <w:name w:val="heading 1"/>
    <w:basedOn w:val="Normal"/>
    <w:next w:val="Normal"/>
    <w:link w:val="Heading1Char"/>
    <w:uiPriority w:val="99"/>
    <w:qFormat/>
    <w:rsid w:val="00791142"/>
    <w:pPr>
      <w:keepNext/>
      <w:jc w:val="center"/>
      <w:outlineLvl w:val="0"/>
    </w:pPr>
    <w:rPr>
      <w:rFonts w:ascii=".VnArial NarrowH" w:hAnsi=".VnArial NarrowH" w:cs=".VnArial NarrowH"/>
      <w:b/>
      <w:bCs/>
      <w:sz w:val="26"/>
      <w:szCs w:val="26"/>
    </w:rPr>
  </w:style>
  <w:style w:type="paragraph" w:styleId="Heading2">
    <w:name w:val="heading 2"/>
    <w:basedOn w:val="Normal"/>
    <w:next w:val="Normal"/>
    <w:link w:val="Heading2Char"/>
    <w:uiPriority w:val="99"/>
    <w:qFormat/>
    <w:rsid w:val="00791142"/>
    <w:pPr>
      <w:keepNext/>
      <w:jc w:val="center"/>
      <w:outlineLvl w:val="1"/>
    </w:pPr>
    <w:rPr>
      <w:rFonts w:ascii=".VnTimeH" w:hAnsi=".VnTimeH" w:cs=".VnTimeH"/>
      <w:b/>
      <w:bCs/>
      <w:sz w:val="27"/>
      <w:szCs w:val="27"/>
    </w:rPr>
  </w:style>
  <w:style w:type="paragraph" w:styleId="Heading3">
    <w:name w:val="heading 3"/>
    <w:basedOn w:val="Normal"/>
    <w:next w:val="Normal"/>
    <w:link w:val="Heading3Char"/>
    <w:uiPriority w:val="99"/>
    <w:qFormat/>
    <w:rsid w:val="00791142"/>
    <w:pPr>
      <w:keepNext/>
      <w:tabs>
        <w:tab w:val="left" w:leader="dot" w:pos="8789"/>
      </w:tabs>
      <w:jc w:val="center"/>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customStyle="1" w:styleId="1CharCharCharChar">
    <w:name w:val="1 Char Char Char Char"/>
    <w:basedOn w:val="DocumentMap"/>
    <w:autoRedefine/>
    <w:uiPriority w:val="99"/>
    <w:rsid w:val="00791142"/>
    <w:pPr>
      <w:widowControl w:val="0"/>
      <w:jc w:val="both"/>
    </w:pPr>
    <w:rPr>
      <w:rFonts w:eastAsia="SimSun"/>
      <w:kern w:val="2"/>
      <w:sz w:val="24"/>
      <w:szCs w:val="24"/>
      <w:lang w:eastAsia="zh-CN"/>
    </w:rPr>
  </w:style>
  <w:style w:type="paragraph" w:styleId="DocumentMap">
    <w:name w:val="Document Map"/>
    <w:basedOn w:val="Normal"/>
    <w:link w:val="DocumentMapChar"/>
    <w:uiPriority w:val="99"/>
    <w:semiHidden/>
    <w:rsid w:val="0079114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odyTextIndent">
    <w:name w:val="Body Text Indent"/>
    <w:basedOn w:val="Normal"/>
    <w:link w:val="BodyTextIndentChar"/>
    <w:uiPriority w:val="99"/>
    <w:rsid w:val="00791142"/>
    <w:pPr>
      <w:spacing w:before="120" w:after="120"/>
      <w:ind w:firstLine="720"/>
      <w:jc w:val="both"/>
    </w:pPr>
  </w:style>
  <w:style w:type="character" w:customStyle="1" w:styleId="BodyTextIndentChar">
    <w:name w:val="Body Text Indent Char"/>
    <w:basedOn w:val="DefaultParagraphFont"/>
    <w:link w:val="BodyTextIndent"/>
    <w:uiPriority w:val="99"/>
    <w:semiHidden/>
    <w:locked/>
    <w:rPr>
      <w:rFonts w:cs="Times New Roman"/>
      <w:sz w:val="28"/>
      <w:szCs w:val="28"/>
    </w:rPr>
  </w:style>
  <w:style w:type="paragraph" w:styleId="BodyText3">
    <w:name w:val="Body Text 3"/>
    <w:basedOn w:val="Normal"/>
    <w:link w:val="BodyText3Char"/>
    <w:uiPriority w:val="99"/>
    <w:rsid w:val="00791142"/>
    <w:rPr>
      <w:lang w:val="nl-NL"/>
    </w:rPr>
  </w:style>
  <w:style w:type="character" w:customStyle="1" w:styleId="BodyText3Char">
    <w:name w:val="Body Text 3 Char"/>
    <w:basedOn w:val="DefaultParagraphFont"/>
    <w:link w:val="BodyText3"/>
    <w:uiPriority w:val="99"/>
    <w:locked/>
    <w:rsid w:val="00791142"/>
    <w:rPr>
      <w:rFonts w:cs="Times New Roman"/>
      <w:sz w:val="28"/>
      <w:szCs w:val="28"/>
      <w:lang w:val="nl-NL" w:eastAsia="en-US"/>
    </w:rPr>
  </w:style>
  <w:style w:type="paragraph" w:styleId="Footer">
    <w:name w:val="footer"/>
    <w:basedOn w:val="Normal"/>
    <w:link w:val="FooterChar"/>
    <w:uiPriority w:val="99"/>
    <w:rsid w:val="00791142"/>
    <w:pPr>
      <w:tabs>
        <w:tab w:val="center" w:pos="4320"/>
        <w:tab w:val="right" w:pos="8640"/>
      </w:tabs>
    </w:pPr>
  </w:style>
  <w:style w:type="character" w:customStyle="1" w:styleId="FooterChar">
    <w:name w:val="Footer Char"/>
    <w:basedOn w:val="DefaultParagraphFont"/>
    <w:link w:val="Footer"/>
    <w:uiPriority w:val="99"/>
    <w:locked/>
    <w:rPr>
      <w:rFonts w:cs="Times New Roman"/>
      <w:sz w:val="28"/>
      <w:szCs w:val="28"/>
    </w:rPr>
  </w:style>
  <w:style w:type="character" w:styleId="PageNumber">
    <w:name w:val="page number"/>
    <w:basedOn w:val="DefaultParagraphFont"/>
    <w:uiPriority w:val="99"/>
    <w:rsid w:val="00791142"/>
    <w:rPr>
      <w:rFonts w:cs="Times New Roman"/>
    </w:rPr>
  </w:style>
  <w:style w:type="character" w:styleId="Hyperlink">
    <w:name w:val="Hyperlink"/>
    <w:basedOn w:val="DefaultParagraphFont"/>
    <w:uiPriority w:val="99"/>
    <w:rsid w:val="00791142"/>
    <w:rPr>
      <w:rFonts w:cs="Times New Roman"/>
      <w:color w:val="0000FF"/>
      <w:u w:val="single"/>
    </w:rPr>
  </w:style>
  <w:style w:type="paragraph" w:styleId="BodyText">
    <w:name w:val="Body Text"/>
    <w:basedOn w:val="Normal"/>
    <w:link w:val="BodyTextChar"/>
    <w:uiPriority w:val="99"/>
    <w:rsid w:val="00791142"/>
    <w:pPr>
      <w:spacing w:before="100" w:beforeAutospacing="1" w:after="100" w:afterAutospacing="1"/>
    </w:pPr>
    <w:rPr>
      <w:sz w:val="24"/>
      <w:szCs w:val="24"/>
    </w:rPr>
  </w:style>
  <w:style w:type="character" w:customStyle="1" w:styleId="BodyTextChar">
    <w:name w:val="Body Text Char"/>
    <w:basedOn w:val="DefaultParagraphFont"/>
    <w:link w:val="BodyText"/>
    <w:uiPriority w:val="99"/>
    <w:semiHidden/>
    <w:locked/>
    <w:rPr>
      <w:rFonts w:cs="Times New Roman"/>
      <w:sz w:val="28"/>
      <w:szCs w:val="28"/>
    </w:rPr>
  </w:style>
  <w:style w:type="paragraph" w:customStyle="1" w:styleId="CharCharCharChar">
    <w:name w:val="Char Char Char Char"/>
    <w:basedOn w:val="Normal"/>
    <w:uiPriority w:val="99"/>
    <w:rsid w:val="00791142"/>
    <w:pPr>
      <w:pageBreakBefore/>
      <w:spacing w:before="100" w:beforeAutospacing="1" w:after="100" w:afterAutospacing="1"/>
    </w:pPr>
    <w:rPr>
      <w:rFonts w:ascii="Tahoma" w:hAnsi="Tahoma" w:cs="Tahoma"/>
      <w:sz w:val="20"/>
      <w:szCs w:val="20"/>
    </w:rPr>
  </w:style>
  <w:style w:type="paragraph" w:styleId="Header">
    <w:name w:val="header"/>
    <w:basedOn w:val="Normal"/>
    <w:link w:val="HeaderChar"/>
    <w:uiPriority w:val="99"/>
    <w:rsid w:val="0079114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8"/>
      <w:szCs w:val="28"/>
    </w:rPr>
  </w:style>
  <w:style w:type="table" w:styleId="TableGrid">
    <w:name w:val="Table Grid"/>
    <w:basedOn w:val="TableNormal"/>
    <w:uiPriority w:val="99"/>
    <w:rsid w:val="007911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791142"/>
    <w:pPr>
      <w:spacing w:after="160" w:line="240" w:lineRule="exact"/>
    </w:pPr>
    <w:rPr>
      <w:rFonts w:ascii="Verdana" w:eastAsia="SimSun" w:hAnsi="Verdana" w:cs="Verdana"/>
      <w:sz w:val="20"/>
      <w:szCs w:val="20"/>
    </w:rPr>
  </w:style>
  <w:style w:type="paragraph" w:styleId="BodyTextIndent2">
    <w:name w:val="Body Text Indent 2"/>
    <w:basedOn w:val="Normal"/>
    <w:link w:val="BodyTextIndent2Char"/>
    <w:uiPriority w:val="99"/>
    <w:rsid w:val="00791142"/>
    <w:pPr>
      <w:spacing w:before="120"/>
      <w:ind w:firstLine="704"/>
      <w:jc w:val="both"/>
    </w:pPr>
    <w:rPr>
      <w:rFonts w:ascii=".VnTime" w:hAnsi=".VnTime" w:cs=".VnTime"/>
      <w:sz w:val="26"/>
      <w:szCs w:val="26"/>
    </w:rPr>
  </w:style>
  <w:style w:type="character" w:customStyle="1" w:styleId="BodyTextIndent2Char">
    <w:name w:val="Body Text Indent 2 Char"/>
    <w:basedOn w:val="DefaultParagraphFont"/>
    <w:link w:val="BodyTextIndent2"/>
    <w:uiPriority w:val="99"/>
    <w:semiHidden/>
    <w:locked/>
    <w:rPr>
      <w:rFonts w:cs="Times New Roman"/>
      <w:sz w:val="28"/>
      <w:szCs w:val="28"/>
    </w:rPr>
  </w:style>
  <w:style w:type="paragraph" w:styleId="BodyText2">
    <w:name w:val="Body Text 2"/>
    <w:basedOn w:val="Normal"/>
    <w:link w:val="BodyText2Char"/>
    <w:uiPriority w:val="99"/>
    <w:rsid w:val="00791142"/>
    <w:pPr>
      <w:spacing w:before="120" w:after="120"/>
      <w:jc w:val="both"/>
    </w:pPr>
    <w:rPr>
      <w:rFonts w:ascii=".VnTime" w:hAnsi=".VnTime" w:cs=".VnTime"/>
      <w:i/>
      <w:iCs/>
      <w:sz w:val="24"/>
      <w:szCs w:val="24"/>
    </w:rPr>
  </w:style>
  <w:style w:type="character" w:customStyle="1" w:styleId="BodyText2Char">
    <w:name w:val="Body Text 2 Char"/>
    <w:basedOn w:val="DefaultParagraphFont"/>
    <w:link w:val="BodyText2"/>
    <w:uiPriority w:val="99"/>
    <w:semiHidden/>
    <w:locked/>
    <w:rPr>
      <w:rFonts w:cs="Times New Roman"/>
      <w:sz w:val="28"/>
      <w:szCs w:val="28"/>
    </w:rPr>
  </w:style>
  <w:style w:type="character" w:customStyle="1" w:styleId="apple-style-span">
    <w:name w:val="apple-style-span"/>
    <w:basedOn w:val="DefaultParagraphFont"/>
    <w:uiPriority w:val="99"/>
    <w:rsid w:val="00791142"/>
    <w:rPr>
      <w:rFonts w:cs="Times New Roman"/>
    </w:rPr>
  </w:style>
  <w:style w:type="character" w:styleId="Strong">
    <w:name w:val="Strong"/>
    <w:basedOn w:val="DefaultParagraphFont"/>
    <w:uiPriority w:val="99"/>
    <w:qFormat/>
    <w:rsid w:val="00791142"/>
    <w:rPr>
      <w:rFonts w:cs="Times New Roman"/>
      <w:b/>
      <w:bCs/>
    </w:rPr>
  </w:style>
  <w:style w:type="character" w:customStyle="1" w:styleId="apple-converted-space">
    <w:name w:val="apple-converted-space"/>
    <w:basedOn w:val="DefaultParagraphFont"/>
    <w:uiPriority w:val="99"/>
    <w:rsid w:val="00791142"/>
    <w:rPr>
      <w:rFonts w:cs="Times New Roman"/>
    </w:rPr>
  </w:style>
  <w:style w:type="paragraph" w:customStyle="1" w:styleId="1">
    <w:name w:val="1"/>
    <w:basedOn w:val="Normal"/>
    <w:uiPriority w:val="99"/>
    <w:semiHidden/>
    <w:rsid w:val="00791142"/>
    <w:pPr>
      <w:spacing w:after="160" w:line="240" w:lineRule="exact"/>
    </w:pPr>
    <w:rPr>
      <w:rFonts w:ascii="Arial" w:hAnsi="Arial" w:cs="Arial"/>
      <w:sz w:val="22"/>
      <w:szCs w:val="22"/>
    </w:rPr>
  </w:style>
  <w:style w:type="paragraph" w:styleId="NormalWeb">
    <w:name w:val="Normal (Web)"/>
    <w:basedOn w:val="Normal"/>
    <w:uiPriority w:val="99"/>
    <w:rsid w:val="00791142"/>
    <w:pPr>
      <w:spacing w:before="100" w:beforeAutospacing="1" w:after="100" w:afterAutospacing="1"/>
    </w:pPr>
    <w:rPr>
      <w:sz w:val="24"/>
      <w:szCs w:val="24"/>
    </w:rPr>
  </w:style>
  <w:style w:type="table" w:customStyle="1" w:styleId="TableGrid1">
    <w:name w:val="Table Grid1"/>
    <w:uiPriority w:val="99"/>
    <w:rsid w:val="00791142"/>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autoRedefine/>
    <w:uiPriority w:val="99"/>
    <w:semiHidden/>
    <w:rsid w:val="00791142"/>
    <w:pPr>
      <w:spacing w:before="120" w:after="120" w:line="312" w:lineRule="auto"/>
    </w:pPr>
  </w:style>
  <w:style w:type="paragraph" w:styleId="FootnoteText">
    <w:name w:val="footnote text"/>
    <w:basedOn w:val="Normal"/>
    <w:link w:val="FootnoteTextChar"/>
    <w:uiPriority w:val="99"/>
    <w:semiHidden/>
    <w:rsid w:val="00791142"/>
    <w:rPr>
      <w:sz w:val="20"/>
      <w:szCs w:val="20"/>
    </w:rPr>
  </w:style>
  <w:style w:type="character" w:customStyle="1" w:styleId="FootnoteTextChar">
    <w:name w:val="Footnote Text Char"/>
    <w:basedOn w:val="DefaultParagraphFont"/>
    <w:link w:val="FootnoteText"/>
    <w:uiPriority w:val="99"/>
    <w:locked/>
    <w:rsid w:val="00791142"/>
    <w:rPr>
      <w:rFonts w:cs="Times New Roman"/>
    </w:rPr>
  </w:style>
  <w:style w:type="character" w:styleId="FootnoteReference">
    <w:name w:val="footnote reference"/>
    <w:basedOn w:val="DefaultParagraphFont"/>
    <w:uiPriority w:val="99"/>
    <w:semiHidden/>
    <w:rsid w:val="00791142"/>
    <w:rPr>
      <w:rFonts w:cs="Times New Roman"/>
      <w:vertAlign w:val="superscript"/>
    </w:rPr>
  </w:style>
  <w:style w:type="character" w:customStyle="1" w:styleId="Bodytext0">
    <w:name w:val="Body text_"/>
    <w:link w:val="Bodytext1"/>
    <w:uiPriority w:val="99"/>
    <w:locked/>
    <w:rsid w:val="00791142"/>
    <w:rPr>
      <w:sz w:val="26"/>
      <w:shd w:val="clear" w:color="auto" w:fill="FFFFFF"/>
    </w:rPr>
  </w:style>
  <w:style w:type="paragraph" w:customStyle="1" w:styleId="Bodytext1">
    <w:name w:val="Body text1"/>
    <w:basedOn w:val="Normal"/>
    <w:link w:val="Bodytext0"/>
    <w:uiPriority w:val="99"/>
    <w:rsid w:val="00791142"/>
    <w:pPr>
      <w:widowControl w:val="0"/>
      <w:shd w:val="clear" w:color="auto" w:fill="FFFFFF"/>
      <w:spacing w:before="480" w:after="60" w:line="394" w:lineRule="exact"/>
      <w:jc w:val="both"/>
    </w:pPr>
    <w:rPr>
      <w:sz w:val="26"/>
      <w:szCs w:val="26"/>
      <w:shd w:val="clear" w:color="auto" w:fill="FFFFFF"/>
    </w:rPr>
  </w:style>
  <w:style w:type="paragraph" w:styleId="ListParagraph">
    <w:name w:val="List Paragraph"/>
    <w:basedOn w:val="Normal"/>
    <w:uiPriority w:val="99"/>
    <w:qFormat/>
    <w:rsid w:val="00F6488B"/>
    <w:pPr>
      <w:ind w:left="720"/>
    </w:pPr>
  </w:style>
</w:styles>
</file>

<file path=word/webSettings.xml><?xml version="1.0" encoding="utf-8"?>
<w:webSettings xmlns:r="http://schemas.openxmlformats.org/officeDocument/2006/relationships" xmlns:w="http://schemas.openxmlformats.org/wordprocessingml/2006/main">
  <w:divs>
    <w:div w:id="1198202289">
      <w:marLeft w:val="0"/>
      <w:marRight w:val="0"/>
      <w:marTop w:val="0"/>
      <w:marBottom w:val="0"/>
      <w:divBdr>
        <w:top w:val="none" w:sz="0" w:space="0" w:color="auto"/>
        <w:left w:val="none" w:sz="0" w:space="0" w:color="auto"/>
        <w:bottom w:val="none" w:sz="0" w:space="0" w:color="auto"/>
        <w:right w:val="none" w:sz="0" w:space="0" w:color="auto"/>
      </w:divBdr>
    </w:div>
    <w:div w:id="1198202290">
      <w:marLeft w:val="0"/>
      <w:marRight w:val="0"/>
      <w:marTop w:val="0"/>
      <w:marBottom w:val="0"/>
      <w:divBdr>
        <w:top w:val="none" w:sz="0" w:space="0" w:color="auto"/>
        <w:left w:val="none" w:sz="0" w:space="0" w:color="auto"/>
        <w:bottom w:val="none" w:sz="0" w:space="0" w:color="auto"/>
        <w:right w:val="none" w:sz="0" w:space="0" w:color="auto"/>
      </w:divBdr>
    </w:div>
    <w:div w:id="1198202291">
      <w:marLeft w:val="0"/>
      <w:marRight w:val="0"/>
      <w:marTop w:val="0"/>
      <w:marBottom w:val="0"/>
      <w:divBdr>
        <w:top w:val="none" w:sz="0" w:space="0" w:color="auto"/>
        <w:left w:val="none" w:sz="0" w:space="0" w:color="auto"/>
        <w:bottom w:val="none" w:sz="0" w:space="0" w:color="auto"/>
        <w:right w:val="none" w:sz="0" w:space="0" w:color="auto"/>
      </w:divBdr>
    </w:div>
    <w:div w:id="1198202292">
      <w:marLeft w:val="0"/>
      <w:marRight w:val="0"/>
      <w:marTop w:val="0"/>
      <w:marBottom w:val="0"/>
      <w:divBdr>
        <w:top w:val="none" w:sz="0" w:space="0" w:color="auto"/>
        <w:left w:val="none" w:sz="0" w:space="0" w:color="auto"/>
        <w:bottom w:val="none" w:sz="0" w:space="0" w:color="auto"/>
        <w:right w:val="none" w:sz="0" w:space="0" w:color="auto"/>
      </w:divBdr>
    </w:div>
    <w:div w:id="1198202293">
      <w:marLeft w:val="0"/>
      <w:marRight w:val="0"/>
      <w:marTop w:val="0"/>
      <w:marBottom w:val="0"/>
      <w:divBdr>
        <w:top w:val="none" w:sz="0" w:space="0" w:color="auto"/>
        <w:left w:val="none" w:sz="0" w:space="0" w:color="auto"/>
        <w:bottom w:val="none" w:sz="0" w:space="0" w:color="auto"/>
        <w:right w:val="none" w:sz="0" w:space="0" w:color="auto"/>
      </w:divBdr>
    </w:div>
    <w:div w:id="1198202294">
      <w:marLeft w:val="0"/>
      <w:marRight w:val="0"/>
      <w:marTop w:val="0"/>
      <w:marBottom w:val="0"/>
      <w:divBdr>
        <w:top w:val="none" w:sz="0" w:space="0" w:color="auto"/>
        <w:left w:val="none" w:sz="0" w:space="0" w:color="auto"/>
        <w:bottom w:val="none" w:sz="0" w:space="0" w:color="auto"/>
        <w:right w:val="none" w:sz="0" w:space="0" w:color="auto"/>
      </w:divBdr>
    </w:div>
    <w:div w:id="1198202295">
      <w:marLeft w:val="0"/>
      <w:marRight w:val="0"/>
      <w:marTop w:val="0"/>
      <w:marBottom w:val="0"/>
      <w:divBdr>
        <w:top w:val="none" w:sz="0" w:space="0" w:color="auto"/>
        <w:left w:val="none" w:sz="0" w:space="0" w:color="auto"/>
        <w:bottom w:val="none" w:sz="0" w:space="0" w:color="auto"/>
        <w:right w:val="none" w:sz="0" w:space="0" w:color="auto"/>
      </w:divBdr>
    </w:div>
    <w:div w:id="1198202296">
      <w:marLeft w:val="0"/>
      <w:marRight w:val="0"/>
      <w:marTop w:val="0"/>
      <w:marBottom w:val="0"/>
      <w:divBdr>
        <w:top w:val="none" w:sz="0" w:space="0" w:color="auto"/>
        <w:left w:val="none" w:sz="0" w:space="0" w:color="auto"/>
        <w:bottom w:val="none" w:sz="0" w:space="0" w:color="auto"/>
        <w:right w:val="none" w:sz="0" w:space="0" w:color="auto"/>
      </w:divBdr>
    </w:div>
    <w:div w:id="1198202297">
      <w:marLeft w:val="0"/>
      <w:marRight w:val="0"/>
      <w:marTop w:val="0"/>
      <w:marBottom w:val="0"/>
      <w:divBdr>
        <w:top w:val="none" w:sz="0" w:space="0" w:color="auto"/>
        <w:left w:val="none" w:sz="0" w:space="0" w:color="auto"/>
        <w:bottom w:val="none" w:sz="0" w:space="0" w:color="auto"/>
        <w:right w:val="none" w:sz="0" w:space="0" w:color="auto"/>
      </w:divBdr>
    </w:div>
    <w:div w:id="1198202298">
      <w:marLeft w:val="0"/>
      <w:marRight w:val="0"/>
      <w:marTop w:val="0"/>
      <w:marBottom w:val="0"/>
      <w:divBdr>
        <w:top w:val="none" w:sz="0" w:space="0" w:color="auto"/>
        <w:left w:val="none" w:sz="0" w:space="0" w:color="auto"/>
        <w:bottom w:val="none" w:sz="0" w:space="0" w:color="auto"/>
        <w:right w:val="none" w:sz="0" w:space="0" w:color="auto"/>
      </w:divBdr>
    </w:div>
    <w:div w:id="1198202299">
      <w:marLeft w:val="0"/>
      <w:marRight w:val="0"/>
      <w:marTop w:val="0"/>
      <w:marBottom w:val="0"/>
      <w:divBdr>
        <w:top w:val="none" w:sz="0" w:space="0" w:color="auto"/>
        <w:left w:val="none" w:sz="0" w:space="0" w:color="auto"/>
        <w:bottom w:val="none" w:sz="0" w:space="0" w:color="auto"/>
        <w:right w:val="none" w:sz="0" w:space="0" w:color="auto"/>
      </w:divBdr>
    </w:div>
    <w:div w:id="1198202300">
      <w:marLeft w:val="0"/>
      <w:marRight w:val="0"/>
      <w:marTop w:val="0"/>
      <w:marBottom w:val="0"/>
      <w:divBdr>
        <w:top w:val="none" w:sz="0" w:space="0" w:color="auto"/>
        <w:left w:val="none" w:sz="0" w:space="0" w:color="auto"/>
        <w:bottom w:val="none" w:sz="0" w:space="0" w:color="auto"/>
        <w:right w:val="none" w:sz="0" w:space="0" w:color="auto"/>
      </w:divBdr>
      <w:divsChild>
        <w:div w:id="1198202301">
          <w:marLeft w:val="0"/>
          <w:marRight w:val="0"/>
          <w:marTop w:val="0"/>
          <w:marBottom w:val="0"/>
          <w:divBdr>
            <w:top w:val="none" w:sz="0" w:space="8" w:color="auto"/>
            <w:left w:val="none" w:sz="0" w:space="1" w:color="auto"/>
            <w:bottom w:val="none" w:sz="0" w:space="8" w:color="auto"/>
            <w:right w:val="none" w:sz="0" w:space="1" w:color="auto"/>
          </w:divBdr>
          <w:divsChild>
            <w:div w:id="11982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2302">
      <w:marLeft w:val="0"/>
      <w:marRight w:val="0"/>
      <w:marTop w:val="0"/>
      <w:marBottom w:val="0"/>
      <w:divBdr>
        <w:top w:val="none" w:sz="0" w:space="0" w:color="auto"/>
        <w:left w:val="none" w:sz="0" w:space="0" w:color="auto"/>
        <w:bottom w:val="none" w:sz="0" w:space="0" w:color="auto"/>
        <w:right w:val="none" w:sz="0" w:space="0" w:color="auto"/>
      </w:divBdr>
    </w:div>
    <w:div w:id="1198202303">
      <w:marLeft w:val="0"/>
      <w:marRight w:val="0"/>
      <w:marTop w:val="0"/>
      <w:marBottom w:val="0"/>
      <w:divBdr>
        <w:top w:val="none" w:sz="0" w:space="0" w:color="auto"/>
        <w:left w:val="none" w:sz="0" w:space="0" w:color="auto"/>
        <w:bottom w:val="none" w:sz="0" w:space="0" w:color="auto"/>
        <w:right w:val="none" w:sz="0" w:space="0" w:color="auto"/>
      </w:divBdr>
    </w:div>
    <w:div w:id="1198202305">
      <w:marLeft w:val="0"/>
      <w:marRight w:val="0"/>
      <w:marTop w:val="0"/>
      <w:marBottom w:val="0"/>
      <w:divBdr>
        <w:top w:val="none" w:sz="0" w:space="0" w:color="auto"/>
        <w:left w:val="none" w:sz="0" w:space="0" w:color="auto"/>
        <w:bottom w:val="none" w:sz="0" w:space="0" w:color="auto"/>
        <w:right w:val="none" w:sz="0" w:space="0" w:color="auto"/>
      </w:divBdr>
    </w:div>
    <w:div w:id="1198202306">
      <w:marLeft w:val="0"/>
      <w:marRight w:val="0"/>
      <w:marTop w:val="0"/>
      <w:marBottom w:val="0"/>
      <w:divBdr>
        <w:top w:val="none" w:sz="0" w:space="0" w:color="auto"/>
        <w:left w:val="none" w:sz="0" w:space="0" w:color="auto"/>
        <w:bottom w:val="none" w:sz="0" w:space="0" w:color="auto"/>
        <w:right w:val="none" w:sz="0" w:space="0" w:color="auto"/>
      </w:divBdr>
    </w:div>
    <w:div w:id="1198202307">
      <w:marLeft w:val="0"/>
      <w:marRight w:val="0"/>
      <w:marTop w:val="0"/>
      <w:marBottom w:val="0"/>
      <w:divBdr>
        <w:top w:val="none" w:sz="0" w:space="0" w:color="auto"/>
        <w:left w:val="none" w:sz="0" w:space="0" w:color="auto"/>
        <w:bottom w:val="none" w:sz="0" w:space="0" w:color="auto"/>
        <w:right w:val="none" w:sz="0" w:space="0" w:color="auto"/>
      </w:divBdr>
    </w:div>
    <w:div w:id="1198202308">
      <w:marLeft w:val="0"/>
      <w:marRight w:val="0"/>
      <w:marTop w:val="0"/>
      <w:marBottom w:val="0"/>
      <w:divBdr>
        <w:top w:val="none" w:sz="0" w:space="0" w:color="auto"/>
        <w:left w:val="none" w:sz="0" w:space="0" w:color="auto"/>
        <w:bottom w:val="none" w:sz="0" w:space="0" w:color="auto"/>
        <w:right w:val="none" w:sz="0" w:space="0" w:color="auto"/>
      </w:divBdr>
    </w:div>
    <w:div w:id="1198202309">
      <w:marLeft w:val="0"/>
      <w:marRight w:val="0"/>
      <w:marTop w:val="0"/>
      <w:marBottom w:val="0"/>
      <w:divBdr>
        <w:top w:val="none" w:sz="0" w:space="0" w:color="auto"/>
        <w:left w:val="none" w:sz="0" w:space="0" w:color="auto"/>
        <w:bottom w:val="none" w:sz="0" w:space="0" w:color="auto"/>
        <w:right w:val="none" w:sz="0" w:space="0" w:color="auto"/>
      </w:divBdr>
    </w:div>
    <w:div w:id="1198202310">
      <w:marLeft w:val="0"/>
      <w:marRight w:val="0"/>
      <w:marTop w:val="0"/>
      <w:marBottom w:val="0"/>
      <w:divBdr>
        <w:top w:val="none" w:sz="0" w:space="0" w:color="auto"/>
        <w:left w:val="none" w:sz="0" w:space="0" w:color="auto"/>
        <w:bottom w:val="none" w:sz="0" w:space="0" w:color="auto"/>
        <w:right w:val="none" w:sz="0" w:space="0" w:color="auto"/>
      </w:divBdr>
    </w:div>
    <w:div w:id="1198202311">
      <w:marLeft w:val="0"/>
      <w:marRight w:val="0"/>
      <w:marTop w:val="0"/>
      <w:marBottom w:val="0"/>
      <w:divBdr>
        <w:top w:val="none" w:sz="0" w:space="0" w:color="auto"/>
        <w:left w:val="none" w:sz="0" w:space="0" w:color="auto"/>
        <w:bottom w:val="none" w:sz="0" w:space="0" w:color="auto"/>
        <w:right w:val="none" w:sz="0" w:space="0" w:color="auto"/>
      </w:divBdr>
    </w:div>
    <w:div w:id="1198202312">
      <w:marLeft w:val="0"/>
      <w:marRight w:val="0"/>
      <w:marTop w:val="0"/>
      <w:marBottom w:val="0"/>
      <w:divBdr>
        <w:top w:val="none" w:sz="0" w:space="0" w:color="auto"/>
        <w:left w:val="none" w:sz="0" w:space="0" w:color="auto"/>
        <w:bottom w:val="none" w:sz="0" w:space="0" w:color="auto"/>
        <w:right w:val="none" w:sz="0" w:space="0" w:color="auto"/>
      </w:divBdr>
    </w:div>
    <w:div w:id="1198202313">
      <w:marLeft w:val="0"/>
      <w:marRight w:val="0"/>
      <w:marTop w:val="0"/>
      <w:marBottom w:val="0"/>
      <w:divBdr>
        <w:top w:val="none" w:sz="0" w:space="0" w:color="auto"/>
        <w:left w:val="none" w:sz="0" w:space="0" w:color="auto"/>
        <w:bottom w:val="none" w:sz="0" w:space="0" w:color="auto"/>
        <w:right w:val="none" w:sz="0" w:space="0" w:color="auto"/>
      </w:divBdr>
    </w:div>
    <w:div w:id="1198202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1061</Words>
  <Characters>6050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User</dc:creator>
  <cp:keywords/>
  <dc:description/>
  <cp:lastModifiedBy>vtc</cp:lastModifiedBy>
  <cp:revision>3</cp:revision>
  <cp:lastPrinted>2016-09-27T08:45:00Z</cp:lastPrinted>
  <dcterms:created xsi:type="dcterms:W3CDTF">2016-09-27T08:49:00Z</dcterms:created>
  <dcterms:modified xsi:type="dcterms:W3CDTF">2016-09-30T02:36:00Z</dcterms:modified>
</cp:coreProperties>
</file>