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tbl>
      <w:tblPr/>
      <w:tblGrid>
        <w:gridCol w:w="3202"/>
        <w:gridCol w:w="6086"/>
      </w:tblGrid>
      <w:tr>
        <w:trPr>
          <w:trHeight w:val="1531" w:hRule="auto"/>
          <w:jc w:val="left"/>
        </w:trPr>
        <w:tc>
          <w:tcPr>
            <w:tcW w:w="32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-4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-4"/>
                <w:position w:val="0"/>
                <w:sz w:val="26"/>
                <w:shd w:fill="auto" w:val="clear"/>
              </w:rPr>
              <w:t xml:space="preserve">ỦY BAN NHÂN DÂN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-4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-4"/>
                <w:position w:val="0"/>
                <w:sz w:val="26"/>
                <w:shd w:fill="auto" w:val="clear"/>
              </w:rPr>
              <w:t xml:space="preserve">TỈNH QUẢNG BÌNH</w:t>
            </w:r>
          </w:p>
          <w:p>
            <w:pPr>
              <w:spacing w:before="120" w:after="0" w:line="240"/>
              <w:ind w:right="0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6"/>
                <w:shd w:fill="auto" w:val="clear"/>
              </w:rPr>
              <w:t xml:space="preserve">Số:  649 /Q</w:t>
            </w: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6"/>
                <w:shd w:fill="auto" w:val="clear"/>
              </w:rPr>
              <w:t xml:space="preserve">Đ-UBND</w:t>
            </w:r>
          </w:p>
        </w:tc>
        <w:tc>
          <w:tcPr>
            <w:tcW w:w="60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-4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-4"/>
                <w:position w:val="0"/>
                <w:sz w:val="28"/>
                <w:shd w:fill="auto" w:val="clear"/>
              </w:rPr>
              <w:t xml:space="preserve">CỘNG HÒA XÃ HỘI CHỦ NGHĨA VIỆT NAM</w:t>
            </w:r>
          </w:p>
          <w:p>
            <w:pPr>
              <w:spacing w:before="0" w:after="0" w:line="240"/>
              <w:ind w:right="0" w:left="0" w:firstLine="72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-4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-4"/>
                <w:position w:val="0"/>
                <w:sz w:val="24"/>
                <w:shd w:fill="auto" w:val="clear"/>
              </w:rPr>
              <w:t xml:space="preserve">             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4"/>
                <w:position w:val="0"/>
                <w:sz w:val="26"/>
                <w:shd w:fill="auto" w:val="clear"/>
              </w:rPr>
              <w:t xml:space="preserve">Độc lập – Tự do – Hạnh phúc</w:t>
            </w:r>
          </w:p>
          <w:p>
            <w:pPr>
              <w:spacing w:before="120" w:after="0" w:line="240"/>
              <w:ind w:right="0" w:left="0" w:firstLine="720"/>
              <w:jc w:val="center"/>
              <w:rPr>
                <w:rFonts w:ascii="Times New Roman" w:hAnsi="Times New Roman" w:cs="Times New Roman" w:eastAsia="Times New Roman"/>
                <w:i/>
                <w:color w:val="auto"/>
                <w:spacing w:val="-4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-4"/>
                <w:position w:val="0"/>
                <w:sz w:val="26"/>
                <w:shd w:fill="auto" w:val="clear"/>
              </w:rPr>
              <w:t xml:space="preserve">Quảng Bình, ngày  06  tháng  3 n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4"/>
                <w:position w:val="0"/>
                <w:sz w:val="26"/>
                <w:shd w:fill="auto" w:val="clear"/>
              </w:rPr>
              <w:t xml:space="preserve">ăm 2017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position w:val="0"/>
                <w:shd w:fill="auto" w:val="clear"/>
              </w:rPr>
            </w:pPr>
          </w:p>
        </w:tc>
      </w:tr>
    </w:tbl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8"/>
          <w:shd w:fill="auto" w:val="clear"/>
        </w:rPr>
        <w:t xml:space="preserve">QUYẾT 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8"/>
          <w:shd w:fill="auto" w:val="clear"/>
        </w:rPr>
        <w:t xml:space="preserve">ĐỊNH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8"/>
          <w:shd w:fill="auto" w:val="clear"/>
        </w:rPr>
        <w:t xml:space="preserve">Về việc công bố thủ tục hành chính mới ban hành trong lĩnh vực D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8"/>
          <w:shd w:fill="auto" w:val="clear"/>
        </w:rPr>
        <w:t xml:space="preserve">ược – Mỹ phẩm thuộc thẩm quyền giải quyết của Sở Y tế tỉnh Quảng B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8"/>
          <w:shd w:fill="auto" w:val="clear"/>
        </w:rPr>
        <w:t xml:space="preserve">ình</w:t>
      </w:r>
    </w:p>
    <w:p>
      <w:pPr>
        <w:spacing w:before="0" w:after="0" w:line="276"/>
        <w:ind w:right="0" w:left="0" w:firstLine="720"/>
        <w:jc w:val="center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8"/>
          <w:shd w:fill="auto" w:val="clear"/>
        </w:rPr>
      </w:pPr>
    </w:p>
    <w:p>
      <w:pPr>
        <w:spacing w:before="60" w:after="60" w:line="276"/>
        <w:ind w:right="0" w:left="0" w:firstLine="567"/>
        <w:jc w:val="center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8"/>
          <w:shd w:fill="auto" w:val="clear"/>
        </w:rPr>
        <w:t xml:space="preserve">CHỦ TỊCH ỦY BAN NHÂN DÂN TỈNH QUẢNG BÌNH</w:t>
      </w:r>
    </w:p>
    <w:p>
      <w:pPr>
        <w:spacing w:before="6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ăn cứ Luật Tổ chức chính quyền địa phương ng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ày 19/6/2015;</w:t>
      </w:r>
    </w:p>
    <w:p>
      <w:pPr>
        <w:spacing w:before="6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ăn cứ Nghị định số 63/2010/NĐ-CP ng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ày 08/6/2010 của Chính phủ về kiểm soát thủ tục hành chính và Nghị 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định số 48/2013/NĐ-CP ng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ày 14/5/2013 của Chính phủ sửa 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đổi, bổ sung một số điều của các nghị định có li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ên quan 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đến kiểm soát thủ tục h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ành chính;</w:t>
      </w:r>
    </w:p>
    <w:p>
      <w:pPr>
        <w:spacing w:before="6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ăn cứ Thông tư số 05/2014/TT-BTP ng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ày 07/02/2014 của Bộ T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ư pháp hướng dẫn công bố, niêm yết thủ tục hành chính và báo cáo về t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ình hình, kết quả thực hiện kiểm soát thủ tục hành chính;</w:t>
      </w:r>
    </w:p>
    <w:p>
      <w:pPr>
        <w:spacing w:before="6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ăn cứ Quyết định số 09/2014/QĐ-UBND ng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ày 02/7/2014 của Ủy ban nhân dân tỉnh về việc ban hành Quy chế công bố, công khai thủ tục hành chính trên 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địa b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àn tỉnh Quảng Bình;</w:t>
      </w:r>
    </w:p>
    <w:p>
      <w:pPr>
        <w:spacing w:before="6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ăn cứ Quyết định số 4708/QĐ-BYT ng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ày 31/8/2016 của Bộ tr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ưởng Bộ Y tế về việc công bố thủ tục hành chính mới ban hành thuộc phạm vi chức năng quản l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ý của Bộ Y tế;</w:t>
      </w:r>
    </w:p>
    <w:p>
      <w:pPr>
        <w:spacing w:before="6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Xét 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đề nghị của Giám đốc Sở Y tế tại Tờ tr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ình số 198/TTr-SYT ngày 08/02/2017 và 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đề nghị của Giám đốc Sở Tư pháp,   </w:t>
      </w:r>
    </w:p>
    <w:p>
      <w:pPr>
        <w:spacing w:before="120" w:after="0" w:line="240"/>
        <w:ind w:right="306" w:left="0" w:firstLine="720"/>
        <w:jc w:val="center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4"/>
          <w:shd w:fill="auto" w:val="clear"/>
        </w:rPr>
      </w:pPr>
    </w:p>
    <w:p>
      <w:pPr>
        <w:spacing w:before="120" w:after="0" w:line="240"/>
        <w:ind w:right="306" w:left="0" w:firstLine="720"/>
        <w:jc w:val="center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3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30"/>
          <w:shd w:fill="auto" w:val="clear"/>
        </w:rPr>
        <w:t xml:space="preserve">QUYẾT 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30"/>
          <w:shd w:fill="auto" w:val="clear"/>
        </w:rPr>
        <w:t xml:space="preserve">ĐỊNH:</w:t>
      </w:r>
    </w:p>
    <w:p>
      <w:pPr>
        <w:spacing w:before="12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8"/>
          <w:shd w:fill="auto" w:val="clear"/>
        </w:rPr>
        <w:t xml:space="preserve">Điều 1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. Công bố k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èm theo Quyết 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định n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ày thủ tục hành chính mới ban hành trong lĩnh vực D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ược – Mỹ phẩm thuộc thẩm quyền giải quyết của Sở Y tế tỉnh Quảng B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ình.</w:t>
      </w:r>
    </w:p>
    <w:p>
      <w:pPr>
        <w:spacing w:before="12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8"/>
          <w:shd w:fill="auto" w:val="clear"/>
        </w:rPr>
        <w:t xml:space="preserve">Điều 2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. Quyết định n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ày có hiệu lực kể từ ngày ký.</w:t>
      </w:r>
    </w:p>
    <w:p>
      <w:pPr>
        <w:spacing w:before="12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8"/>
          <w:shd w:fill="auto" w:val="clear"/>
        </w:rPr>
        <w:t xml:space="preserve">Điều 3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. Chánh Văn ph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òng Ủy ban nhân dân tỉnh, Giám 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đốc Sở Y tế, Giám đốc Sở Tư pháp; Thủ trưởng các sở, ban, ng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ành và các tổ chức, cá nhân có liên quan chịu trách nhiệm thi hành Quyết 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định n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ày./.</w:t>
      </w:r>
    </w:p>
    <w:p>
      <w:pPr>
        <w:spacing w:before="12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14"/>
          <w:shd w:fill="auto" w:val="clear"/>
        </w:rPr>
      </w:pPr>
    </w:p>
    <w:tbl>
      <w:tblPr/>
      <w:tblGrid>
        <w:gridCol w:w="4928"/>
        <w:gridCol w:w="4554"/>
      </w:tblGrid>
      <w:tr>
        <w:trPr>
          <w:trHeight w:val="1" w:hRule="atLeast"/>
          <w:jc w:val="left"/>
        </w:trPr>
        <w:tc>
          <w:tcPr>
            <w:tcW w:w="492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306" w:left="0" w:firstLine="0"/>
              <w:jc w:val="both"/>
              <w:rPr>
                <w:rFonts w:ascii="Times New Roman" w:hAnsi="Times New Roman" w:cs="Times New Roman" w:eastAsia="Times New Roman"/>
                <w:b/>
                <w:i/>
                <w:color w:val="auto"/>
                <w:spacing w:val="-4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-4"/>
                <w:position w:val="0"/>
                <w:sz w:val="24"/>
                <w:shd w:fill="auto" w:val="clear"/>
              </w:rPr>
              <w:t xml:space="preserve">N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-4"/>
                <w:position w:val="0"/>
                <w:sz w:val="24"/>
                <w:shd w:fill="auto" w:val="clear"/>
              </w:rPr>
              <w:t xml:space="preserve">ơi nhận:</w:t>
            </w:r>
          </w:p>
          <w:p>
            <w:pPr>
              <w:numPr>
                <w:ilvl w:val="0"/>
                <w:numId w:val="18"/>
              </w:numPr>
              <w:spacing w:before="0" w:after="0" w:line="240"/>
              <w:ind w:right="306" w:left="180" w:hanging="18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-4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2"/>
                <w:shd w:fill="auto" w:val="clear"/>
              </w:rPr>
              <w:t xml:space="preserve">Nh</w:t>
            </w: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2"/>
                <w:shd w:fill="auto" w:val="clear"/>
              </w:rPr>
              <w:t xml:space="preserve">ư Điều 3;</w:t>
            </w:r>
          </w:p>
          <w:p>
            <w:pPr>
              <w:numPr>
                <w:ilvl w:val="0"/>
                <w:numId w:val="18"/>
              </w:numPr>
              <w:spacing w:before="0" w:after="0" w:line="240"/>
              <w:ind w:right="306" w:left="180" w:hanging="18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-4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2"/>
                <w:shd w:fill="auto" w:val="clear"/>
              </w:rPr>
              <w:t xml:space="preserve">Bộ Y tế;</w:t>
            </w:r>
          </w:p>
          <w:p>
            <w:pPr>
              <w:numPr>
                <w:ilvl w:val="0"/>
                <w:numId w:val="18"/>
              </w:numPr>
              <w:spacing w:before="0" w:after="0" w:line="240"/>
              <w:ind w:right="306" w:left="180" w:hanging="18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-4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2"/>
                <w:shd w:fill="auto" w:val="clear"/>
              </w:rPr>
              <w:t xml:space="preserve">Cục kiểm soát TTHC, V</w:t>
            </w: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2"/>
                <w:shd w:fill="auto" w:val="clear"/>
              </w:rPr>
              <w:t xml:space="preserve">ăn ph</w:t>
            </w: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2"/>
                <w:shd w:fill="auto" w:val="clear"/>
              </w:rPr>
              <w:t xml:space="preserve">òng Chính phủ;</w:t>
            </w:r>
          </w:p>
          <w:p>
            <w:pPr>
              <w:numPr>
                <w:ilvl w:val="0"/>
                <w:numId w:val="18"/>
              </w:numPr>
              <w:spacing w:before="0" w:after="0" w:line="240"/>
              <w:ind w:right="306" w:left="180" w:hanging="18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-4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2"/>
                <w:shd w:fill="auto" w:val="clear"/>
              </w:rPr>
              <w:t xml:space="preserve">Chủ tịch, các PCT UBND tỉnh;</w:t>
            </w:r>
          </w:p>
          <w:p>
            <w:pPr>
              <w:numPr>
                <w:ilvl w:val="0"/>
                <w:numId w:val="18"/>
              </w:numPr>
              <w:spacing w:before="0" w:after="0" w:line="240"/>
              <w:ind w:right="306" w:left="180" w:hanging="18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-4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2"/>
                <w:shd w:fill="auto" w:val="clear"/>
              </w:rPr>
              <w:t xml:space="preserve">Cổng thông tin </w:t>
            </w: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2"/>
                <w:shd w:fill="auto" w:val="clear"/>
              </w:rPr>
              <w:t xml:space="preserve">điện tử tỉnh QB;</w:t>
            </w:r>
          </w:p>
          <w:p>
            <w:pPr>
              <w:numPr>
                <w:ilvl w:val="0"/>
                <w:numId w:val="18"/>
              </w:numPr>
              <w:spacing w:before="0" w:after="0" w:line="240"/>
              <w:ind w:right="306" w:left="180" w:hanging="18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-4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2"/>
                <w:shd w:fill="auto" w:val="clear"/>
              </w:rPr>
              <w:t xml:space="preserve">L</w:t>
            </w: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2"/>
                <w:shd w:fill="auto" w:val="clear"/>
              </w:rPr>
              <w:t xml:space="preserve">ưu: VT, NC.</w:t>
            </w:r>
          </w:p>
          <w:p>
            <w:pPr>
              <w:spacing w:before="0" w:after="0" w:line="240"/>
              <w:ind w:right="306" w:left="0" w:firstLine="0"/>
              <w:jc w:val="both"/>
              <w:rPr>
                <w:color w:val="auto"/>
                <w:position w:val="0"/>
                <w:shd w:fill="auto" w:val="clear"/>
              </w:rPr>
            </w:pPr>
          </w:p>
        </w:tc>
        <w:tc>
          <w:tcPr>
            <w:tcW w:w="45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306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-4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-4"/>
                <w:position w:val="0"/>
                <w:sz w:val="26"/>
                <w:shd w:fill="auto" w:val="clear"/>
              </w:rPr>
              <w:t xml:space="preserve">KT. CHỦ TỊCH</w:t>
            </w:r>
          </w:p>
          <w:p>
            <w:pPr>
              <w:spacing w:before="0" w:after="0" w:line="240"/>
              <w:ind w:right="306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-4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-4"/>
                <w:position w:val="0"/>
                <w:sz w:val="26"/>
                <w:shd w:fill="auto" w:val="clear"/>
              </w:rPr>
              <w:t xml:space="preserve">PHÓ CHỦ TỊCH</w:t>
            </w:r>
          </w:p>
          <w:p>
            <w:pPr>
              <w:spacing w:before="0" w:after="0" w:line="276"/>
              <w:ind w:right="306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-4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76"/>
              <w:ind w:right="306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-4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76"/>
              <w:ind w:right="306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-4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-4"/>
                <w:position w:val="0"/>
                <w:sz w:val="26"/>
                <w:shd w:fill="auto" w:val="clear"/>
              </w:rPr>
              <w:t xml:space="preserve">                           Đã ký</w:t>
            </w:r>
          </w:p>
          <w:p>
            <w:pPr>
              <w:spacing w:before="0" w:after="0" w:line="276"/>
              <w:ind w:right="306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-4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76"/>
              <w:ind w:right="306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-4"/>
                <w:position w:val="0"/>
                <w:sz w:val="26"/>
                <w:shd w:fill="auto" w:val="clear"/>
              </w:rPr>
              <w:t xml:space="preserve">Nguyễn Tiến Hoàng</w:t>
            </w:r>
          </w:p>
        </w:tc>
      </w:tr>
    </w:tbl>
    <w:p>
      <w:pPr>
        <w:spacing w:before="0" w:after="0" w:line="240"/>
        <w:ind w:right="0" w:left="720" w:firstLine="72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1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