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tbl>
      <w:tblPr/>
      <w:tblGrid>
        <w:gridCol w:w="3174"/>
        <w:gridCol w:w="6017"/>
      </w:tblGrid>
      <w:tr>
        <w:trPr>
          <w:trHeight w:val="1" w:hRule="atLeast"/>
          <w:jc w:val="center"/>
        </w:trPr>
        <w:tc>
          <w:tcPr>
            <w:tcW w:w="317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7"/>
                <w:shd w:fill="auto" w:val="clear"/>
              </w:rPr>
              <w:t xml:space="preserve">ỦY BAN NHÂN DÂN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7"/>
                <w:shd w:fill="auto" w:val="clear"/>
              </w:rPr>
              <w:t xml:space="preserve">TỈNH QUẢNG BÌNH</w:t>
            </w:r>
          </w:p>
          <w:p>
            <w:pPr>
              <w:spacing w:before="12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Số: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2855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/Q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Đ-UBND</w:t>
            </w:r>
          </w:p>
        </w:tc>
        <w:tc>
          <w:tcPr>
            <w:tcW w:w="601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7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7"/>
                <w:shd w:fill="auto" w:val="clear"/>
              </w:rPr>
              <w:t xml:space="preserve">CỘNG HÒA XÃ HỘI CHỦ NGHĨA VIỆT NAM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Độc lập - Tự do - Hạnh phúc</w:t>
            </w:r>
          </w:p>
          <w:p>
            <w:pPr>
              <w:spacing w:before="12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Quảng Bình, ngày 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09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tháng 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8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n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ăm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2017</w:t>
            </w:r>
          </w:p>
        </w:tc>
      </w:tr>
    </w:tbl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QUYẾT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ĐỊNH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Về việc công bố thủ tục hành chính thuộc thẩm quyền giải quyết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của Sở Khoa học và Công nghệ tỉnh Quảng Bình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12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CHỦ TỊCH ỦY BAN NHÂN DÂN TỈNH QUẢNG BÌNH</w:t>
      </w:r>
    </w:p>
    <w:p>
      <w:pPr>
        <w:spacing w:before="6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ăn cứ Luật Tổ chức chính quyền địa phương ng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ày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19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6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ăn cứ Nghị định số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/NĐ-CP ng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ày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08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của Chính phủ về kiểm soát thủ tục hành chính và Nghị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định số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/NĐ-CP ng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ày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của Chính phủ sửa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đổi, bổ sung một số điều của các nghị định 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ên quan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đến kiểm soát thủ tục 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ành chính; </w:t>
      </w:r>
    </w:p>
    <w:p>
      <w:pPr>
        <w:spacing w:before="6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ăn cứ Thông tư số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05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/TT-BTP ng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ày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07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02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của Bộ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ư pháp hướng dẫn công bố, niêm yết thủ tục hành chính và báo cáo về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ình hình, kết quả thực hiện kiểm soát thủ tục hành chính;</w:t>
      </w:r>
    </w:p>
    <w:p>
      <w:pPr>
        <w:spacing w:before="6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ăn cứ Quyết định số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3798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/QĐ-BKHCN ng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ày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của Bộ tr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ưởng Bộ Khoa học và Công nghệ về việc công bố thủ tục hành chính thuộc phạm vi chức năng quản 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ý của Bộ Khoa học và Công nghệ (Lĩnh vực: Hoạt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động khoa học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à công nghệ);</w:t>
      </w:r>
    </w:p>
    <w:p>
      <w:pPr>
        <w:spacing w:before="6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ăn cứ Quyết định số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3943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/QĐ-BKHCN ng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ày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của Bộ tr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ưởng Bộ Khoa học và Công nghệ về việc công bố thủ tục hành chính thuộc phạm vi chức năng quản 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ý của Bộ Khoa học và Công nghệ (Lĩnh vực: Sở hữu trí tuệ);</w:t>
      </w:r>
    </w:p>
    <w:p>
      <w:pPr>
        <w:spacing w:before="6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ăn cứ Quyết định số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3956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/QĐ-BKHCN ng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ày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của Bộ tr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ưởng Bộ Khoa học và Công nghệ về việc công bố thủ tục hành chính thuộc phạm vi chức năng quản 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ý của Bộ Khoa học và Công nghệ (Lĩnh vực: 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ăng lượng nguy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ên tử, an toàn bức xạ và hạt nhân);</w:t>
      </w:r>
    </w:p>
    <w:p>
      <w:pPr>
        <w:spacing w:before="6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ăn cứ Quyết định số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819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/QĐ-BKHCN ng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ày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2017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của Bộ tr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ưởng Bộ Khoa học và Công nghệ về việc công bố thủ tục hành chính thuộc phạm vi chức năng quản 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ý của Bộ Khoa học và Công nghệ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(Lĩnh vực: hoạt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động khoa học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à công nghệ)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6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ăn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cứ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Quy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ế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đị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nh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số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09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/QĐ-UBND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ngà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y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02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củ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Ủ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y ban nhân dân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tỉ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nh về việc ban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hà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nh Quy ch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ế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công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bố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công khai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thủ tụ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hà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nh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chí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nh trên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đị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bà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tỉ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nh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Quả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ng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Bì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nh;</w:t>
      </w:r>
    </w:p>
    <w:p>
      <w:pPr>
        <w:spacing w:before="6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Xét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đề nghị của Giám đốc Sở Khoa học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à Công nghệ tại Tờ trình số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248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/TTr-SKHCN ngày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06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2017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và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đề nghị của Giám đốc Sở Tư pháp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,</w:t>
      </w:r>
    </w:p>
    <w:p>
      <w:pPr>
        <w:keepNext w:val="true"/>
        <w:spacing w:before="24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QUYẾT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ĐỊNH:</w:t>
      </w:r>
    </w:p>
    <w:p>
      <w:pPr>
        <w:spacing w:before="120" w:after="0" w:line="240"/>
        <w:ind w:right="0" w:left="0" w:firstLine="567"/>
        <w:jc w:val="both"/>
        <w:rPr>
          <w:rFonts w:ascii="Times New Roman" w:hAnsi="Times New Roman" w:cs="Times New Roman" w:eastAsia="Times New Roman"/>
          <w:b/>
          <w:strike w:val="true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Điều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Công bố 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èm theo Quyết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định 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ày thủ tục hành chính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được sửa đổi, bổ sung thuộc thẩm quyền giải quyết của Sở Khoa học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à Công nghệ tỉnh Quảng Bình.</w:t>
      </w:r>
    </w:p>
    <w:p>
      <w:pPr>
        <w:spacing w:before="12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Điều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Quyết định 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ày có hiệu lực thi hành kể từ ngày ký.</w:t>
      </w:r>
    </w:p>
    <w:p>
      <w:pPr>
        <w:spacing w:before="120" w:after="12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Điều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Chánh Văn ph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òng UBND tỉnh, Giám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đốc Sở Khoa học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à Công nghệ, Giám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đốc Sở Tư pháp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à các tổ chức, cá nhân có liên quan chịu trách nhiệm thi hành Quyết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định 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ày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./.</w:t>
      </w:r>
    </w:p>
    <w:p>
      <w:pPr>
        <w:spacing w:before="120" w:after="12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-6"/>
          <w:position w:val="0"/>
          <w:sz w:val="4"/>
          <w:shd w:fill="auto" w:val="clear"/>
        </w:rPr>
      </w:pPr>
    </w:p>
    <w:tbl>
      <w:tblPr/>
      <w:tblGrid>
        <w:gridCol w:w="4928"/>
        <w:gridCol w:w="4645"/>
      </w:tblGrid>
      <w:tr>
        <w:trPr>
          <w:trHeight w:val="2547" w:hRule="auto"/>
          <w:jc w:val="left"/>
        </w:trPr>
        <w:tc>
          <w:tcPr>
            <w:tcW w:w="492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N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ơi nhận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- Nh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ư Điều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- Bộ KH&amp;CN;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- Cục Kiểm soát TTHC, VP Chính phủ;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- CT, các PCT UBND tỉnh;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- B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ưu điện tỉnh;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- Cổng thông tin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điện tử tỉnh QB;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- 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ưu: VT, NC.</w:t>
            </w:r>
          </w:p>
        </w:tc>
        <w:tc>
          <w:tcPr>
            <w:tcW w:w="4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KT. CHỦ TỊCH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PHÓ CHỦ TỊCH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Đã ký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Nguyễn Tiến Hoàng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